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73D4D" w:rsidP="003E7FD2">
      <w:pPr>
        <w:jc w:val="center"/>
        <w:rPr>
          <w:rFonts w:cs="2  Titr"/>
          <w:b/>
          <w:bCs/>
          <w:rtl/>
        </w:rPr>
      </w:pPr>
      <w:r w:rsidRPr="00973D4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DA5805">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w:t>
            </w:r>
            <w:r w:rsidR="00DA5805">
              <w:rPr>
                <w:rFonts w:cs="B Nazanin" w:hint="cs"/>
                <w:b/>
                <w:bCs/>
                <w:rtl/>
              </w:rPr>
              <w:t>4</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C05973">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563B73">
              <w:rPr>
                <w:rFonts w:cs="B Titr"/>
              </w:rPr>
              <w:t>98</w:t>
            </w:r>
            <w:r w:rsidR="00A92C7E">
              <w:rPr>
                <w:rFonts w:cs="B Titr"/>
              </w:rPr>
              <w:t>/</w:t>
            </w:r>
            <w:r w:rsidR="00C05973">
              <w:rPr>
                <w:rFonts w:cs="B Titr"/>
              </w:rPr>
              <w:t>044</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563B73">
              <w:rPr>
                <w:rFonts w:cs="B Titr"/>
              </w:rPr>
              <w:t>ME</w:t>
            </w:r>
            <w:r w:rsidR="00A92C7E">
              <w:rPr>
                <w:rFonts w:cs="B Titr"/>
              </w:rPr>
              <w:t>-</w:t>
            </w:r>
            <w:r w:rsidR="00C05973">
              <w:rPr>
                <w:rFonts w:cs="B Titr"/>
              </w:rPr>
              <w:t>3412898056</w:t>
            </w:r>
            <w:r w:rsidR="00A92C7E">
              <w:rPr>
                <w:rFonts w:cs="B Titr"/>
              </w:rPr>
              <w:t>-</w:t>
            </w:r>
            <w:r w:rsidR="00563B73">
              <w:rPr>
                <w:rFonts w:cs="B Titr"/>
              </w:rPr>
              <w:t>MA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C05973">
            <w:pPr>
              <w:rPr>
                <w:rFonts w:cs="B Mitra"/>
                <w:b/>
                <w:bCs/>
                <w:sz w:val="24"/>
                <w:szCs w:val="24"/>
              </w:rPr>
            </w:pPr>
            <w:r w:rsidRPr="00446D14">
              <w:rPr>
                <w:rFonts w:cs="B Titr" w:hint="cs"/>
                <w:rtl/>
              </w:rPr>
              <w:t>موضوع مناقصه :</w:t>
            </w:r>
            <w:r w:rsidR="00DA5805">
              <w:rPr>
                <w:rFonts w:cs="B Titr" w:hint="cs"/>
                <w:rtl/>
              </w:rPr>
              <w:t xml:space="preserve"> </w:t>
            </w:r>
            <w:r w:rsidR="00C05973">
              <w:rPr>
                <w:rFonts w:cs="B Titr" w:hint="cs"/>
                <w:rtl/>
              </w:rPr>
              <w:t>كامپيوتر صنعتي</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973D4D"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973D4D">
        <w:pPr>
          <w:pStyle w:val="Footer"/>
          <w:jc w:val="center"/>
        </w:pPr>
        <w:fldSimple w:instr=" PAGE   \* MERGEFORMAT ">
          <w:r w:rsidR="00D304F6">
            <w:rPr>
              <w:noProof/>
              <w:rtl/>
            </w:rPr>
            <w:t>2</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973D4D">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87D59"/>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D4984"/>
    <w:rsid w:val="004E38A4"/>
    <w:rsid w:val="004F5672"/>
    <w:rsid w:val="00516E51"/>
    <w:rsid w:val="00517280"/>
    <w:rsid w:val="00517988"/>
    <w:rsid w:val="00522AA0"/>
    <w:rsid w:val="00550505"/>
    <w:rsid w:val="005529AB"/>
    <w:rsid w:val="00560921"/>
    <w:rsid w:val="00562694"/>
    <w:rsid w:val="00563B73"/>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D393B"/>
    <w:rsid w:val="006D3E11"/>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02AE"/>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73D4D"/>
    <w:rsid w:val="0099052B"/>
    <w:rsid w:val="009A4648"/>
    <w:rsid w:val="009A5A72"/>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5973"/>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04F6"/>
    <w:rsid w:val="00D344E2"/>
    <w:rsid w:val="00D4099B"/>
    <w:rsid w:val="00D44527"/>
    <w:rsid w:val="00D47B9D"/>
    <w:rsid w:val="00D528FD"/>
    <w:rsid w:val="00D54CBD"/>
    <w:rsid w:val="00D65675"/>
    <w:rsid w:val="00D73044"/>
    <w:rsid w:val="00D804C4"/>
    <w:rsid w:val="00D853B2"/>
    <w:rsid w:val="00DA0F31"/>
    <w:rsid w:val="00DA5805"/>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574071</cp:lastModifiedBy>
  <cp:revision>16</cp:revision>
  <cp:lastPrinted>2019-01-15T05:34:00Z</cp:lastPrinted>
  <dcterms:created xsi:type="dcterms:W3CDTF">2018-05-10T11:41:00Z</dcterms:created>
  <dcterms:modified xsi:type="dcterms:W3CDTF">2020-09-08T08:50:00Z</dcterms:modified>
</cp:coreProperties>
</file>