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C15690" w:rsidRDefault="009A5CA5" w:rsidP="00C15690">
      <w:pPr>
        <w:pStyle w:val="Heading8"/>
        <w:bidi/>
        <w:rPr>
          <w:b/>
          <w:bCs/>
          <w:sz w:val="26"/>
          <w:szCs w:val="26"/>
        </w:rPr>
      </w:pPr>
      <w:r w:rsidRPr="00FD0D52">
        <w:rPr>
          <w:rFonts w:hint="cs"/>
          <w:b/>
          <w:bCs/>
          <w:sz w:val="26"/>
          <w:szCs w:val="26"/>
          <w:rtl/>
        </w:rPr>
        <w:t>موضوع :</w:t>
      </w:r>
      <w:r w:rsidR="003577E1">
        <w:rPr>
          <w:b/>
          <w:bCs/>
          <w:sz w:val="26"/>
          <w:szCs w:val="26"/>
        </w:rPr>
        <w:t xml:space="preserve">  </w:t>
      </w:r>
      <w:r w:rsidRPr="00C15690">
        <w:rPr>
          <w:rFonts w:hint="cs"/>
          <w:b/>
          <w:bCs/>
          <w:sz w:val="26"/>
          <w:szCs w:val="26"/>
          <w:rtl/>
        </w:rPr>
        <w:t>مناقصه</w:t>
      </w:r>
      <w:r w:rsidR="00C15690" w:rsidRPr="00C15690">
        <w:rPr>
          <w:rFonts w:hint="cs"/>
          <w:b/>
          <w:bCs/>
          <w:sz w:val="26"/>
          <w:szCs w:val="26"/>
          <w:rtl/>
        </w:rPr>
        <w:t xml:space="preserve"> شماره</w:t>
      </w:r>
      <w:r w:rsidRPr="00C15690">
        <w:rPr>
          <w:rFonts w:hint="cs"/>
          <w:b/>
          <w:bCs/>
          <w:sz w:val="26"/>
          <w:szCs w:val="26"/>
          <w:rtl/>
        </w:rPr>
        <w:t xml:space="preserve"> </w:t>
      </w:r>
      <w:r w:rsidR="003577E1" w:rsidRPr="00C15690">
        <w:rPr>
          <w:b/>
          <w:bCs/>
          <w:sz w:val="26"/>
          <w:szCs w:val="26"/>
        </w:rPr>
        <w:t xml:space="preserve">     </w:t>
      </w:r>
      <w:r w:rsidR="00C940D2" w:rsidRPr="00C15690">
        <w:rPr>
          <w:b/>
          <w:bCs/>
          <w:sz w:val="26"/>
          <w:szCs w:val="26"/>
        </w:rPr>
        <w:t>R2</w:t>
      </w:r>
      <w:r w:rsidR="00FD0D52" w:rsidRPr="00C15690">
        <w:rPr>
          <w:b/>
          <w:bCs/>
          <w:sz w:val="26"/>
          <w:szCs w:val="26"/>
        </w:rPr>
        <w:t>-98</w:t>
      </w:r>
      <w:r w:rsidR="00C940D2" w:rsidRPr="00C15690">
        <w:rPr>
          <w:b/>
          <w:bCs/>
          <w:sz w:val="26"/>
          <w:szCs w:val="26"/>
        </w:rPr>
        <w:t>/</w:t>
      </w:r>
      <w:r w:rsidR="00FD0D52" w:rsidRPr="00C15690">
        <w:rPr>
          <w:b/>
          <w:bCs/>
          <w:sz w:val="26"/>
          <w:szCs w:val="26"/>
        </w:rPr>
        <w:t>015</w:t>
      </w:r>
      <w:r w:rsidRPr="00C1569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FD0D52" w:rsidRPr="00C15690">
        <w:rPr>
          <w:b/>
          <w:bCs/>
          <w:sz w:val="24"/>
          <w:szCs w:val="24"/>
        </w:rPr>
        <w:t>9740018-</w:t>
      </w:r>
      <w:r w:rsidR="002E1444" w:rsidRPr="00C15690">
        <w:rPr>
          <w:b/>
          <w:bCs/>
          <w:sz w:val="24"/>
          <w:szCs w:val="24"/>
        </w:rPr>
        <w:t>MG</w:t>
      </w:r>
      <w:r w:rsidR="0028594C" w:rsidRPr="00C15690">
        <w:rPr>
          <w:rFonts w:hint="cs"/>
          <w:b/>
          <w:bCs/>
          <w:sz w:val="24"/>
          <w:szCs w:val="24"/>
          <w:rtl/>
        </w:rPr>
        <w:t>-</w:t>
      </w:r>
      <w:r w:rsidR="00AE7A73" w:rsidRPr="00C15690">
        <w:rPr>
          <w:b/>
          <w:bCs/>
          <w:sz w:val="24"/>
          <w:szCs w:val="24"/>
        </w:rPr>
        <w:t>R2</w:t>
      </w:r>
    </w:p>
    <w:p w:rsidR="002859D3" w:rsidRPr="00C15690" w:rsidRDefault="00C15690" w:rsidP="00C15690">
      <w:pPr>
        <w:pStyle w:val="BodyText2"/>
        <w:jc w:val="center"/>
        <w:rPr>
          <w:rFonts w:cs="Titr"/>
          <w:b/>
          <w:bCs/>
          <w:sz w:val="16"/>
          <w:szCs w:val="16"/>
        </w:rPr>
      </w:pPr>
      <w:r w:rsidRPr="00C15690">
        <w:rPr>
          <w:rFonts w:hint="cs"/>
          <w:b/>
          <w:bCs/>
          <w:rtl/>
        </w:rPr>
        <w:t>خريد</w:t>
      </w:r>
      <w:r w:rsidR="00582948" w:rsidRPr="00C15690">
        <w:rPr>
          <w:rFonts w:hint="cs"/>
          <w:b/>
          <w:bCs/>
          <w:rtl/>
        </w:rPr>
        <w:t xml:space="preserve"> </w:t>
      </w:r>
      <w:r w:rsidR="00FD0D52" w:rsidRPr="00C15690">
        <w:rPr>
          <w:rFonts w:hint="cs"/>
          <w:b/>
          <w:bCs/>
          <w:rtl/>
        </w:rPr>
        <w:t>:</w:t>
      </w:r>
      <w:r w:rsidR="00FD0D52" w:rsidRPr="00C15690">
        <w:rPr>
          <w:b/>
          <w:bCs/>
        </w:rPr>
        <w:t xml:space="preserve">  </w:t>
      </w:r>
      <w:r w:rsidR="00FD0D52" w:rsidRPr="00C15690">
        <w:rPr>
          <w:b/>
          <w:bCs/>
          <w:sz w:val="24"/>
          <w:szCs w:val="24"/>
        </w:rPr>
        <w:t xml:space="preserve">P/F RECYCLE COMPRESSOR, RECIP” TERMODIN”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981044" w:rsidRDefault="002B14F8" w:rsidP="003577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 w:rsidRPr="0098104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577E1" w:rsidRPr="0098104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000/000/325</w:t>
            </w:r>
            <w:r w:rsidR="0083235B" w:rsidRPr="0098104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82593C" w:rsidRPr="0098104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54314A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54314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1331E9" w:rsidRPr="0054314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54314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5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54314A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54314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54314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54314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F86DA4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54314A">
              <w:rPr>
                <w:rFonts w:cs="Titr" w:hint="cs"/>
                <w:b/>
                <w:bCs/>
                <w:sz w:val="16"/>
                <w:szCs w:val="16"/>
                <w:rtl/>
              </w:rPr>
              <w:t>60 (شصت) امتياز مي‌باشد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2B166B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032AAE">
        <w:rPr>
          <w:rFonts w:cs="Titr"/>
          <w:b/>
          <w:bCs/>
          <w:sz w:val="18"/>
          <w:szCs w:val="18"/>
          <w:rtl/>
        </w:rPr>
        <w:t>311</w:t>
      </w:r>
      <w:r w:rsidR="000A78DB" w:rsidRPr="00032AAE">
        <w:rPr>
          <w:rFonts w:cs="Titr" w:hint="cs"/>
          <w:b/>
          <w:bCs/>
          <w:sz w:val="18"/>
          <w:szCs w:val="18"/>
          <w:rtl/>
        </w:rPr>
        <w:t>ـ</w:t>
      </w:r>
      <w:r w:rsidR="00032AAE" w:rsidRPr="00032AAE">
        <w:rPr>
          <w:rFonts w:cs="Titr" w:hint="cs"/>
          <w:b/>
          <w:bCs/>
          <w:sz w:val="18"/>
          <w:szCs w:val="18"/>
          <w:rtl/>
        </w:rPr>
        <w:t xml:space="preserve"> </w:t>
      </w:r>
      <w:r w:rsidRPr="00032AAE">
        <w:rPr>
          <w:rFonts w:cs="Titr"/>
          <w:b/>
          <w:bCs/>
          <w:sz w:val="18"/>
          <w:szCs w:val="18"/>
          <w:rtl/>
        </w:rPr>
        <w:t>75391</w:t>
      </w:r>
      <w:r w:rsidR="00032AAE" w:rsidRPr="00032AAE">
        <w:rPr>
          <w:rFonts w:cs="Titr" w:hint="cs"/>
          <w:b/>
          <w:bCs/>
          <w:sz w:val="18"/>
          <w:szCs w:val="18"/>
          <w:rtl/>
        </w:rPr>
        <w:t xml:space="preserve"> </w:t>
      </w:r>
      <w:r w:rsidRPr="00032AAE">
        <w:rPr>
          <w:rFonts w:cs="Titr"/>
          <w:b/>
          <w:bCs/>
          <w:sz w:val="20"/>
          <w:szCs w:val="20"/>
          <w:rtl/>
        </w:rPr>
        <w:t>تلفن</w:t>
      </w:r>
      <w:r w:rsidR="007744D4" w:rsidRPr="00032AAE">
        <w:rPr>
          <w:rFonts w:cs="Titr" w:hint="cs"/>
          <w:b/>
          <w:bCs/>
          <w:sz w:val="20"/>
          <w:szCs w:val="20"/>
          <w:rtl/>
        </w:rPr>
        <w:t xml:space="preserve">: </w:t>
      </w:r>
      <w:r w:rsidR="002B166B" w:rsidRPr="00032AAE">
        <w:rPr>
          <w:rFonts w:cs="Titr" w:hint="cs"/>
          <w:b/>
          <w:bCs/>
          <w:sz w:val="20"/>
          <w:szCs w:val="20"/>
          <w:rtl/>
        </w:rPr>
        <w:t>93</w:t>
      </w:r>
      <w:r w:rsidR="000A24DC" w:rsidRPr="00032AAE">
        <w:rPr>
          <w:rFonts w:cs="Titr" w:hint="cs"/>
          <w:b/>
          <w:bCs/>
          <w:sz w:val="20"/>
          <w:szCs w:val="20"/>
          <w:rtl/>
        </w:rPr>
        <w:t xml:space="preserve"> </w:t>
      </w:r>
      <w:r w:rsidR="00842113" w:rsidRPr="00032AAE">
        <w:rPr>
          <w:rFonts w:cs="Titr" w:hint="cs"/>
          <w:b/>
          <w:bCs/>
          <w:sz w:val="20"/>
          <w:szCs w:val="20"/>
          <w:rtl/>
        </w:rPr>
        <w:t>077313</w:t>
      </w:r>
      <w:r w:rsidR="000A24DC" w:rsidRPr="00032AAE">
        <w:rPr>
          <w:rFonts w:cs="Titr" w:hint="cs"/>
          <w:b/>
          <w:bCs/>
          <w:sz w:val="20"/>
          <w:szCs w:val="20"/>
          <w:rtl/>
        </w:rPr>
        <w:t>13</w:t>
      </w:r>
      <w:r w:rsidR="00842113" w:rsidRPr="00032AAE">
        <w:rPr>
          <w:rFonts w:cs="Titr" w:hint="cs"/>
          <w:b/>
          <w:bCs/>
          <w:sz w:val="20"/>
          <w:szCs w:val="20"/>
          <w:rtl/>
        </w:rPr>
        <w:t>9</w:t>
      </w:r>
      <w:r w:rsidRPr="00032AAE">
        <w:rPr>
          <w:rFonts w:cs="Titr" w:hint="cs"/>
          <w:b/>
          <w:bCs/>
          <w:sz w:val="18"/>
          <w:szCs w:val="18"/>
          <w:rtl/>
        </w:rPr>
        <w:t>،</w:t>
      </w:r>
      <w:r w:rsidRPr="00032AAE">
        <w:rPr>
          <w:rFonts w:cs="Titr"/>
          <w:b/>
          <w:bCs/>
          <w:sz w:val="20"/>
          <w:szCs w:val="20"/>
          <w:rtl/>
        </w:rPr>
        <w:t>فاكس</w:t>
      </w:r>
      <w:r w:rsidR="007744D4" w:rsidRPr="00032AAE">
        <w:rPr>
          <w:rFonts w:cs="Titr" w:hint="cs"/>
          <w:b/>
          <w:bCs/>
          <w:sz w:val="20"/>
          <w:szCs w:val="20"/>
          <w:rtl/>
        </w:rPr>
        <w:t>: 07737325438</w:t>
      </w:r>
      <w:r w:rsidRPr="00032AAE">
        <w:rPr>
          <w:rFonts w:cs="Titr"/>
          <w:b/>
          <w:bCs/>
          <w:sz w:val="18"/>
          <w:szCs w:val="18"/>
          <w:rtl/>
        </w:rPr>
        <w:t>جهت</w:t>
      </w:r>
      <w:r w:rsidRPr="00FF2829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115C7" w:rsidRPr="003C7E0D" w:rsidRDefault="002115C7" w:rsidP="00C15690">
      <w:pPr>
        <w:bidi/>
        <w:ind w:firstLine="163"/>
        <w:jc w:val="center"/>
        <w:rPr>
          <w:rFonts w:cs="Titr"/>
          <w:b/>
          <w:bCs/>
          <w:sz w:val="8"/>
          <w:szCs w:val="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159"/>
        <w:gridCol w:w="712"/>
        <w:gridCol w:w="2706"/>
        <w:gridCol w:w="1544"/>
      </w:tblGrid>
      <w:tr w:rsidR="00032AAE" w:rsidRPr="00165753" w:rsidTr="00C15690">
        <w:trPr>
          <w:cantSplit/>
          <w:trHeight w:val="794"/>
        </w:trPr>
        <w:tc>
          <w:tcPr>
            <w:tcW w:w="402" w:type="dxa"/>
            <w:textDirection w:val="btLr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4139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شاخص فنی</w:t>
            </w:r>
          </w:p>
        </w:tc>
        <w:tc>
          <w:tcPr>
            <w:tcW w:w="709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امتياز</w:t>
            </w:r>
          </w:p>
        </w:tc>
        <w:tc>
          <w:tcPr>
            <w:tcW w:w="4230" w:type="dxa"/>
            <w:gridSpan w:val="2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چگونگی توزیع امتیاز</w:t>
            </w:r>
          </w:p>
        </w:tc>
      </w:tr>
      <w:tr w:rsidR="00032AAE" w:rsidRPr="00165753" w:rsidTr="00C15690">
        <w:trPr>
          <w:trHeight w:val="938"/>
        </w:trPr>
        <w:tc>
          <w:tcPr>
            <w:tcW w:w="402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139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/>
                <w:sz w:val="18"/>
                <w:szCs w:val="18"/>
                <w:rtl/>
              </w:rPr>
              <w:t>زمان تحويل</w:t>
            </w:r>
            <w:r w:rsidRPr="00C15690">
              <w:rPr>
                <w:rFonts w:cs="B Titr" w:hint="cs"/>
                <w:sz w:val="18"/>
                <w:szCs w:val="18"/>
                <w:rtl/>
              </w:rPr>
              <w:t>(روزهاي تقويمي محاسبه می</w:t>
            </w:r>
            <w:r w:rsidRPr="00C15690">
              <w:rPr>
                <w:rFonts w:cs="B Titr"/>
                <w:sz w:val="18"/>
                <w:szCs w:val="18"/>
                <w:rtl/>
              </w:rPr>
              <w:softHyphen/>
            </w:r>
            <w:r w:rsidRPr="00C15690">
              <w:rPr>
                <w:rFonts w:cs="B Titr" w:hint="cs"/>
                <w:sz w:val="18"/>
                <w:szCs w:val="18"/>
                <w:rtl/>
              </w:rPr>
              <w:t>شود)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32AAE" w:rsidRPr="00981044" w:rsidRDefault="00981044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81044">
              <w:rPr>
                <w:rFonts w:cs="B Titr"/>
                <w:b/>
                <w:bCs/>
                <w:sz w:val="24"/>
                <w:szCs w:val="24"/>
              </w:rPr>
              <w:t>Y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981044">
              <w:rPr>
                <w:rFonts w:cs="B Titr"/>
                <w:b/>
                <w:bCs/>
                <w:sz w:val="24"/>
                <w:szCs w:val="24"/>
              </w:rPr>
              <w:t>=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981044">
              <w:rPr>
                <w:rFonts w:cs="B Titr"/>
                <w:b/>
                <w:bCs/>
                <w:sz w:val="24"/>
                <w:szCs w:val="24"/>
              </w:rPr>
              <w:t>50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981044">
              <w:rPr>
                <w:rFonts w:cs="B Titr"/>
                <w:b/>
                <w:bCs/>
                <w:sz w:val="24"/>
                <w:szCs w:val="24"/>
              </w:rPr>
              <w:t>-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981044">
              <w:rPr>
                <w:rFonts w:cs="B Titr"/>
                <w:b/>
                <w:bCs/>
                <w:sz w:val="24"/>
                <w:szCs w:val="24"/>
              </w:rPr>
              <w:t>0.148(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981044">
              <w:rPr>
                <w:rFonts w:cs="B Titr"/>
                <w:b/>
                <w:bCs/>
                <w:sz w:val="24"/>
                <w:szCs w:val="24"/>
              </w:rPr>
              <w:t>X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– </w:t>
            </w:r>
            <w:r w:rsidRPr="00981044">
              <w:rPr>
                <w:rFonts w:cs="B Titr"/>
                <w:b/>
                <w:bCs/>
                <w:sz w:val="24"/>
                <w:szCs w:val="24"/>
              </w:rPr>
              <w:t>30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981044">
              <w:rPr>
                <w:rFonts w:cs="B Titr"/>
                <w:b/>
                <w:bCs/>
                <w:sz w:val="24"/>
                <w:szCs w:val="24"/>
              </w:rPr>
              <w:t>)</w:t>
            </w:r>
          </w:p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/>
                <w:sz w:val="18"/>
                <w:szCs w:val="18"/>
              </w:rPr>
              <w:t>X</w:t>
            </w:r>
            <w:r w:rsidRPr="00C15690">
              <w:rPr>
                <w:rFonts w:cs="B Titr" w:hint="cs"/>
                <w:sz w:val="18"/>
                <w:szCs w:val="18"/>
                <w:rtl/>
              </w:rPr>
              <w:t xml:space="preserve"> :</w:t>
            </w:r>
            <w:r w:rsidR="00C15690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C15690">
              <w:rPr>
                <w:rFonts w:cs="B Titr" w:hint="cs"/>
                <w:sz w:val="18"/>
                <w:szCs w:val="18"/>
                <w:rtl/>
              </w:rPr>
              <w:t>شمار روزهای پیشنهاد</w:t>
            </w:r>
          </w:p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/>
                <w:sz w:val="18"/>
                <w:szCs w:val="18"/>
              </w:rPr>
              <w:t xml:space="preserve">Y </w:t>
            </w:r>
            <w:r w:rsidRPr="00C15690">
              <w:rPr>
                <w:rFonts w:cs="B Titr" w:hint="cs"/>
                <w:sz w:val="18"/>
                <w:szCs w:val="18"/>
                <w:rtl/>
              </w:rPr>
              <w:t>: جمع امتیازِ زمان تحویل کالا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بيش از 365 روز:</w:t>
            </w:r>
          </w:p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رد پيشنهاد فني</w:t>
            </w:r>
          </w:p>
        </w:tc>
      </w:tr>
      <w:tr w:rsidR="00032AAE" w:rsidRPr="00165753" w:rsidTr="00C15690">
        <w:tc>
          <w:tcPr>
            <w:tcW w:w="402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139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مطابقت</w:t>
            </w:r>
            <w:r w:rsidRPr="00C15690">
              <w:rPr>
                <w:rFonts w:cs="B Titr"/>
                <w:sz w:val="18"/>
                <w:szCs w:val="18"/>
                <w:rtl/>
              </w:rPr>
              <w:t xml:space="preserve"> پيشنهاد با تقاضا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4230" w:type="dxa"/>
            <w:gridSpan w:val="2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مطابقت با تقاضا:</w:t>
            </w:r>
            <w:r w:rsidR="00C15690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C15690">
              <w:rPr>
                <w:rFonts w:cs="B Titr" w:hint="cs"/>
                <w:sz w:val="18"/>
                <w:szCs w:val="18"/>
                <w:rtl/>
              </w:rPr>
              <w:t>15 امتياز</w:t>
            </w:r>
          </w:p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  <w:r w:rsidRPr="00C15690">
              <w:rPr>
                <w:rFonts w:cs="B Titr" w:hint="cs"/>
                <w:sz w:val="18"/>
                <w:szCs w:val="18"/>
                <w:rtl/>
              </w:rPr>
              <w:t>مطابقت نداشتن با تقاضا: رد پيشنهاد فني</w:t>
            </w:r>
          </w:p>
        </w:tc>
      </w:tr>
      <w:tr w:rsidR="00032AAE" w:rsidRPr="00165753" w:rsidTr="00C15690">
        <w:tc>
          <w:tcPr>
            <w:tcW w:w="402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139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/>
                <w:sz w:val="18"/>
                <w:szCs w:val="18"/>
                <w:rtl/>
              </w:rPr>
              <w:t xml:space="preserve">گواهينامه حسن سابقه در </w:t>
            </w:r>
            <w:r w:rsidRPr="00C15690">
              <w:rPr>
                <w:rFonts w:cs="B Titr" w:hint="cs"/>
                <w:sz w:val="18"/>
                <w:szCs w:val="18"/>
                <w:rtl/>
              </w:rPr>
              <w:t>فروش‌هاي پيشين</w:t>
            </w:r>
            <w:r w:rsidR="00C15690" w:rsidRPr="00C15690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C15690">
              <w:rPr>
                <w:rFonts w:cs="B Titr" w:hint="cs"/>
                <w:sz w:val="18"/>
                <w:szCs w:val="18"/>
                <w:rtl/>
              </w:rPr>
              <w:t>مشابه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230" w:type="dxa"/>
            <w:gridSpan w:val="2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امتیاز برای هر گواهينامه: 5 امتياز</w:t>
            </w:r>
          </w:p>
        </w:tc>
      </w:tr>
      <w:tr w:rsidR="00032AAE" w:rsidRPr="00165753" w:rsidTr="00C15690">
        <w:tc>
          <w:tcPr>
            <w:tcW w:w="402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139" w:type="dxa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گارانتي تعويض 1 ساله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4230" w:type="dxa"/>
            <w:gridSpan w:val="2"/>
            <w:vAlign w:val="center"/>
          </w:tcPr>
          <w:p w:rsidR="00032AAE" w:rsidRPr="00C15690" w:rsidRDefault="00032AAE" w:rsidP="00C1569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15690">
              <w:rPr>
                <w:rFonts w:cs="B Titr" w:hint="cs"/>
                <w:sz w:val="18"/>
                <w:szCs w:val="18"/>
                <w:rtl/>
              </w:rPr>
              <w:t>ندادن گارانتي: رد پيشنهاد فني</w:t>
            </w:r>
          </w:p>
        </w:tc>
      </w:tr>
    </w:tbl>
    <w:p w:rsidR="002115C7" w:rsidRDefault="002115C7" w:rsidP="002115C7">
      <w:pPr>
        <w:bidi/>
        <w:ind w:firstLine="163"/>
        <w:jc w:val="both"/>
        <w:rPr>
          <w:rFonts w:cs="Titr"/>
          <w:b/>
          <w:bCs/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73"/>
      </w:tblGrid>
      <w:tr w:rsidR="003C7E0D" w:rsidRPr="009227A5" w:rsidTr="00C15690">
        <w:tc>
          <w:tcPr>
            <w:tcW w:w="2551" w:type="dxa"/>
            <w:vAlign w:val="center"/>
          </w:tcPr>
          <w:p w:rsidR="002D5E2A" w:rsidRPr="00F86DA4" w:rsidRDefault="002D5E2A" w:rsidP="00C1569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6973" w:type="dxa"/>
          </w:tcPr>
          <w:p w:rsidR="002115C7" w:rsidRPr="001B7342" w:rsidRDefault="002D5E2A" w:rsidP="00C15690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B734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 w:rsidRPr="001B734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1B7342">
              <w:rPr>
                <w:rFonts w:cs="Titr" w:hint="cs"/>
                <w:b/>
                <w:bCs/>
                <w:sz w:val="16"/>
                <w:szCs w:val="16"/>
                <w:rtl/>
              </w:rPr>
              <w:t>براي گشايش پاكت مالي مناقصه 60 (شصت) امتياز مي‌باشد.</w:t>
            </w:r>
          </w:p>
        </w:tc>
      </w:tr>
      <w:tr w:rsidR="003C7E0D" w:rsidRPr="00F86DA4" w:rsidTr="00C15690">
        <w:tc>
          <w:tcPr>
            <w:tcW w:w="2551" w:type="dxa"/>
          </w:tcPr>
          <w:p w:rsidR="002115C7" w:rsidRPr="00F86DA4" w:rsidRDefault="002D5E2A" w:rsidP="00C1569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6973" w:type="dxa"/>
          </w:tcPr>
          <w:p w:rsidR="002115C7" w:rsidRPr="001B7342" w:rsidRDefault="002D5E2A" w:rsidP="00C1569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1B734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Pr="001B734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</w:p>
    <w:p w:rsidR="00C15690" w:rsidRDefault="00C15690" w:rsidP="0083235B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C15690" w:rsidRDefault="00C15690" w:rsidP="00C15690">
      <w:pPr>
        <w:autoSpaceDE w:val="0"/>
        <w:autoSpaceDN w:val="0"/>
        <w:bidi/>
        <w:adjustRightInd w:val="0"/>
        <w:spacing w:line="276" w:lineRule="auto"/>
        <w:jc w:val="both"/>
        <w:rPr>
          <w:rFonts w:cs="Titr"/>
          <w:color w:val="000000"/>
          <w:sz w:val="18"/>
          <w:szCs w:val="18"/>
          <w:rtl/>
        </w:rPr>
      </w:pPr>
    </w:p>
    <w:p w:rsidR="00F54F5E" w:rsidRDefault="00861308" w:rsidP="00C15690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41"/>
        <w:gridCol w:w="689"/>
        <w:gridCol w:w="693"/>
      </w:tblGrid>
      <w:tr w:rsidR="00096233" w:rsidTr="00442856">
        <w:trPr>
          <w:trHeight w:val="156"/>
        </w:trPr>
        <w:tc>
          <w:tcPr>
            <w:tcW w:w="8341" w:type="dxa"/>
            <w:vAlign w:val="center"/>
          </w:tcPr>
          <w:p w:rsidR="00096233" w:rsidRPr="007B57E5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689" w:type="dxa"/>
            <w:vAlign w:val="center"/>
          </w:tcPr>
          <w:p w:rsidR="00096233" w:rsidRPr="00096233" w:rsidRDefault="00096233" w:rsidP="007B57E5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693" w:type="dxa"/>
            <w:vAlign w:val="center"/>
          </w:tcPr>
          <w:p w:rsidR="00096233" w:rsidRPr="00096233" w:rsidRDefault="00096233" w:rsidP="0009623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442856" w:rsidTr="00442856">
        <w:trPr>
          <w:trHeight w:val="156"/>
        </w:trPr>
        <w:tc>
          <w:tcPr>
            <w:tcW w:w="8341" w:type="dxa"/>
          </w:tcPr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P/F GAS RECYCLE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>COMPRESSOR</w:t>
            </w:r>
            <w:proofErr w:type="gramStart"/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>,RECIP</w:t>
            </w:r>
            <w:proofErr w:type="gramEnd"/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>."THERMODYN"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MODEL:CAP2, SER.NOS: 854 TO 861,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TAG NOS:105K101 A/B, 105K201 A/B,105K301 A/B&amp;105K401 A/B,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DOC.NO:105K101A0003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PURCH.ORD NO:ATS-1070M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FOR COUPLING"VULKAN"MODEL:RATO-S,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>SEE:587020.500 HEASDING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SUPPLIER:THERMODYN(TD/AV-324902),FRANCE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(ON-SHORE FACILITEIS)</w:t>
            </w:r>
          </w:p>
          <w:p w:rsidR="00442856" w:rsidRPr="00442856" w:rsidRDefault="00442856" w:rsidP="00442856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</w:pPr>
            <w:r w:rsidRPr="00442856">
              <w:rPr>
                <w:rFonts w:ascii="Tahoma-Bold" w:cs="Tahoma-Bold" w:hint="cs"/>
                <w:b/>
                <w:bCs/>
                <w:sz w:val="20"/>
                <w:szCs w:val="20"/>
                <w:lang w:bidi="ar-SA"/>
              </w:rPr>
              <w:t>•</w:t>
            </w:r>
            <w:r w:rsidRPr="00442856">
              <w:rPr>
                <w:rFonts w:ascii="Tahoma-Bold" w:cs="Tahoma-Bold"/>
                <w:b/>
                <w:bCs/>
                <w:sz w:val="20"/>
                <w:szCs w:val="20"/>
                <w:lang w:bidi="ar-SA"/>
              </w:rPr>
              <w:t xml:space="preserve"> PISTON ROD ASSY.,PL.16,DWG.:1525 PE 01</w:t>
            </w:r>
          </w:p>
          <w:p w:rsidR="00442856" w:rsidRDefault="00442856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689" w:type="dxa"/>
          </w:tcPr>
          <w:p w:rsidR="00442856" w:rsidRDefault="00442856" w:rsidP="00AE7A73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3" w:type="dxa"/>
          </w:tcPr>
          <w:p w:rsidR="00442856" w:rsidRDefault="00442856" w:rsidP="00AE7A73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6233" w:rsidTr="00C15690">
        <w:trPr>
          <w:trHeight w:val="1508"/>
        </w:trPr>
        <w:tc>
          <w:tcPr>
            <w:tcW w:w="8341" w:type="dxa"/>
          </w:tcPr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>---------------------------------------------------------</w:t>
            </w:r>
          </w:p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RIDER RING,FILLED PTFE,</w:t>
            </w:r>
          </w:p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IT.3, MAT:25% CARBON FILLED PEEK</w:t>
            </w:r>
          </w:p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240X222X55</w:t>
            </w:r>
          </w:p>
          <w:p w:rsidR="00096233" w:rsidRPr="003C7E0D" w:rsidRDefault="007C71CE" w:rsidP="00442856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Part No:P2318.B#1</w:t>
            </w:r>
          </w:p>
        </w:tc>
        <w:tc>
          <w:tcPr>
            <w:tcW w:w="689" w:type="dxa"/>
            <w:vAlign w:val="center"/>
          </w:tcPr>
          <w:p w:rsidR="00096233" w:rsidRPr="003C7E0D" w:rsidRDefault="007C71CE" w:rsidP="00C1569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693" w:type="dxa"/>
            <w:vAlign w:val="center"/>
          </w:tcPr>
          <w:p w:rsidR="00096233" w:rsidRPr="003C7E0D" w:rsidRDefault="007C71CE" w:rsidP="00C1569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7C71CE" w:rsidTr="00C15690">
        <w:trPr>
          <w:trHeight w:val="1520"/>
        </w:trPr>
        <w:tc>
          <w:tcPr>
            <w:tcW w:w="8341" w:type="dxa"/>
          </w:tcPr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>---------------------------------------------------------</w:t>
            </w:r>
          </w:p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SEALING RING,FILLED PTFE, IT.4</w:t>
            </w:r>
          </w:p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MAT:25% CARBON FILLED PTFE</w:t>
            </w:r>
          </w:p>
          <w:p w:rsidR="007C71CE" w:rsidRDefault="007C71CE" w:rsidP="007C71CE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240X215X10</w:t>
            </w:r>
          </w:p>
          <w:p w:rsidR="007C71CE" w:rsidRPr="003C7E0D" w:rsidRDefault="007C71CE" w:rsidP="00442856">
            <w:pPr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22"/>
                <w:szCs w:val="22"/>
                <w:lang w:bidi="ar-SA"/>
              </w:rPr>
              <w:t xml:space="preserve"> Part No:P231.B#2</w:t>
            </w:r>
            <w:r w:rsidR="00442856">
              <w:rPr>
                <w:rFonts w:ascii="Tahoma-Bold" w:cs="Tahoma-Bold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7C71CE" w:rsidRPr="003C7E0D" w:rsidRDefault="007C71CE" w:rsidP="00C1569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693" w:type="dxa"/>
            <w:vAlign w:val="center"/>
          </w:tcPr>
          <w:p w:rsidR="007C71CE" w:rsidRPr="003C7E0D" w:rsidRDefault="007C71CE" w:rsidP="00C1569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AE7A73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2B166B">
        <w:rPr>
          <w:rFonts w:cs="Titr"/>
          <w:color w:val="339966"/>
          <w:sz w:val="26"/>
          <w:szCs w:val="26"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CE" w:rsidRDefault="007B34CE">
      <w:r>
        <w:separator/>
      </w:r>
    </w:p>
  </w:endnote>
  <w:endnote w:type="continuationSeparator" w:id="0">
    <w:p w:rsidR="007B34CE" w:rsidRDefault="007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032AAE">
      <w:rPr>
        <w:rFonts w:cs="Mitra" w:hint="cs"/>
        <w:b/>
        <w:bCs/>
        <w:sz w:val="20"/>
        <w:szCs w:val="20"/>
        <w:rtl/>
      </w:rPr>
      <w:t>صندوق پستي</w:t>
    </w:r>
    <w:r w:rsidR="00576004" w:rsidRPr="00032AAE">
      <w:rPr>
        <w:rFonts w:cs="Mitra" w:hint="cs"/>
        <w:b/>
        <w:bCs/>
        <w:sz w:val="20"/>
        <w:szCs w:val="20"/>
        <w:rtl/>
      </w:rPr>
      <w:t xml:space="preserve">: 311/75391 </w:t>
    </w:r>
    <w:r w:rsidRPr="00032AAE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32AAE">
      <w:rPr>
        <w:rFonts w:cs="Mitra" w:hint="cs"/>
        <w:b/>
        <w:bCs/>
        <w:sz w:val="20"/>
        <w:szCs w:val="20"/>
        <w:rtl/>
      </w:rPr>
      <w:t xml:space="preserve">: </w:t>
    </w:r>
    <w:r w:rsidR="008308CE" w:rsidRPr="00032AAE">
      <w:rPr>
        <w:rFonts w:cs="Mitra" w:hint="cs"/>
        <w:b/>
        <w:bCs/>
        <w:sz w:val="20"/>
        <w:szCs w:val="20"/>
        <w:rtl/>
      </w:rPr>
      <w:t>077</w:t>
    </w:r>
    <w:r w:rsidR="0068102A" w:rsidRPr="00032AAE">
      <w:rPr>
        <w:rFonts w:cs="Mitra" w:hint="cs"/>
        <w:b/>
        <w:bCs/>
        <w:sz w:val="20"/>
        <w:szCs w:val="20"/>
        <w:rtl/>
      </w:rPr>
      <w:t>3131</w:t>
    </w:r>
    <w:r w:rsidR="008308CE" w:rsidRPr="00032AAE">
      <w:rPr>
        <w:rFonts w:cs="Mitra" w:hint="cs"/>
        <w:b/>
        <w:bCs/>
        <w:sz w:val="20"/>
        <w:szCs w:val="20"/>
        <w:rtl/>
      </w:rPr>
      <w:t>3</w:t>
    </w:r>
    <w:r w:rsidR="000A24DC" w:rsidRPr="00032AAE">
      <w:rPr>
        <w:rFonts w:cs="Mitra" w:hint="cs"/>
        <w:b/>
        <w:bCs/>
        <w:sz w:val="20"/>
        <w:szCs w:val="20"/>
        <w:rtl/>
      </w:rPr>
      <w:t>8</w:t>
    </w:r>
    <w:r w:rsidR="008308CE" w:rsidRPr="00032AAE">
      <w:rPr>
        <w:rFonts w:cs="Mitra" w:hint="cs"/>
        <w:b/>
        <w:bCs/>
        <w:sz w:val="20"/>
        <w:szCs w:val="20"/>
        <w:rtl/>
      </w:rPr>
      <w:t>9</w:t>
    </w:r>
    <w:r w:rsidR="00096233" w:rsidRPr="00032AAE">
      <w:rPr>
        <w:rFonts w:cs="Mitra" w:hint="cs"/>
        <w:b/>
        <w:bCs/>
        <w:sz w:val="20"/>
        <w:szCs w:val="20"/>
        <w:rtl/>
      </w:rPr>
      <w:t>4</w:t>
    </w:r>
    <w:r w:rsidRPr="00032AAE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32AAE">
      <w:rPr>
        <w:rFonts w:cs="Mitra" w:hint="cs"/>
        <w:b/>
        <w:bCs/>
        <w:sz w:val="20"/>
        <w:szCs w:val="20"/>
        <w:rtl/>
      </w:rPr>
      <w:t xml:space="preserve">: </w:t>
    </w:r>
    <w:r w:rsidRPr="00032AAE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CE" w:rsidRDefault="007B34CE">
      <w:r>
        <w:separator/>
      </w:r>
    </w:p>
  </w:footnote>
  <w:footnote w:type="continuationSeparator" w:id="0">
    <w:p w:rsidR="007B34CE" w:rsidRDefault="007B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2AAE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331E9"/>
    <w:rsid w:val="00150DDD"/>
    <w:rsid w:val="00153E95"/>
    <w:rsid w:val="00155D22"/>
    <w:rsid w:val="00156FCF"/>
    <w:rsid w:val="00160AB4"/>
    <w:rsid w:val="001705EB"/>
    <w:rsid w:val="00172B4B"/>
    <w:rsid w:val="00174C5C"/>
    <w:rsid w:val="0019770A"/>
    <w:rsid w:val="001A3FFD"/>
    <w:rsid w:val="001B192C"/>
    <w:rsid w:val="001B2900"/>
    <w:rsid w:val="001B7342"/>
    <w:rsid w:val="001C5ACB"/>
    <w:rsid w:val="001F1699"/>
    <w:rsid w:val="001F6930"/>
    <w:rsid w:val="001F7772"/>
    <w:rsid w:val="001F7F02"/>
    <w:rsid w:val="00201B4B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166B"/>
    <w:rsid w:val="002B26B9"/>
    <w:rsid w:val="002C03C6"/>
    <w:rsid w:val="002D5E2A"/>
    <w:rsid w:val="002D7CBF"/>
    <w:rsid w:val="002E1444"/>
    <w:rsid w:val="002E6B9A"/>
    <w:rsid w:val="00304DC0"/>
    <w:rsid w:val="003167BE"/>
    <w:rsid w:val="00337940"/>
    <w:rsid w:val="003417DA"/>
    <w:rsid w:val="00350DE4"/>
    <w:rsid w:val="00356EE0"/>
    <w:rsid w:val="003572FC"/>
    <w:rsid w:val="003577E1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856"/>
    <w:rsid w:val="00442A48"/>
    <w:rsid w:val="004627A7"/>
    <w:rsid w:val="00477150"/>
    <w:rsid w:val="00482474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4314A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1FF1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4CE"/>
    <w:rsid w:val="007B358C"/>
    <w:rsid w:val="007B511F"/>
    <w:rsid w:val="007B57E5"/>
    <w:rsid w:val="007C18F8"/>
    <w:rsid w:val="007C71CE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1044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15690"/>
    <w:rsid w:val="00C2075F"/>
    <w:rsid w:val="00C24A4F"/>
    <w:rsid w:val="00C279CC"/>
    <w:rsid w:val="00C50D03"/>
    <w:rsid w:val="00C533F4"/>
    <w:rsid w:val="00C63A8D"/>
    <w:rsid w:val="00C63F9B"/>
    <w:rsid w:val="00C646EE"/>
    <w:rsid w:val="00C71A66"/>
    <w:rsid w:val="00C865C8"/>
    <w:rsid w:val="00C87B5B"/>
    <w:rsid w:val="00C93F40"/>
    <w:rsid w:val="00C940D2"/>
    <w:rsid w:val="00C9732F"/>
    <w:rsid w:val="00C97CB6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DF7AAC"/>
    <w:rsid w:val="00E02FC4"/>
    <w:rsid w:val="00E07616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4CA5"/>
    <w:rsid w:val="00FD0AF5"/>
    <w:rsid w:val="00FD0D52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5FE2-1F4E-4DED-846B-4B09D697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سیاح، علیرضا</cp:lastModifiedBy>
  <cp:revision>18</cp:revision>
  <cp:lastPrinted>2016-12-15T05:15:00Z</cp:lastPrinted>
  <dcterms:created xsi:type="dcterms:W3CDTF">2019-03-04T14:06:00Z</dcterms:created>
  <dcterms:modified xsi:type="dcterms:W3CDTF">2019-12-29T04:41:00Z</dcterms:modified>
</cp:coreProperties>
</file>