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A1581B" w:rsidP="00B605EE">
      <w:pPr>
        <w:ind w:right="360"/>
        <w:jc w:val="center"/>
        <w:rPr>
          <w:rFonts w:cs="Titr" w:hint="cs"/>
          <w:sz w:val="16"/>
          <w:szCs w:val="16"/>
          <w:rtl/>
          <w:lang w:bidi="fa-IR"/>
        </w:rPr>
      </w:pPr>
    </w:p>
    <w:p w:rsidR="009046A0" w:rsidRDefault="00745DEF" w:rsidP="00960DC3">
      <w:pPr>
        <w:ind w:right="360"/>
        <w:jc w:val="center"/>
        <w:rPr>
          <w:rFonts w:cs="B Titr"/>
          <w:rtl/>
        </w:rPr>
      </w:pPr>
      <w:r w:rsidRPr="00745DEF">
        <w:rPr>
          <w:rFonts w:cs="B Titr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-256264</wp:posOffset>
            </wp:positionH>
            <wp:positionV relativeFrom="paragraph">
              <wp:posOffset>-434064</wp:posOffset>
            </wp:positionV>
            <wp:extent cx="728373" cy="978011"/>
            <wp:effectExtent l="19050" t="0" r="0" b="0"/>
            <wp:wrapNone/>
            <wp:docPr id="3" name="Picture 1" descr="C:\Users\540004\Pictures\SPG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04\Pictures\SPGC LOGO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EF" w:rsidRDefault="00745DEF" w:rsidP="00960DC3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745DEF" w:rsidRPr="00B10D50" w:rsidRDefault="00745DEF" w:rsidP="00745DEF">
      <w:pPr>
        <w:jc w:val="center"/>
        <w:rPr>
          <w:rFonts w:cs="Nazanin"/>
          <w:b/>
          <w:bCs/>
          <w:color w:val="000000" w:themeColor="text1"/>
          <w:sz w:val="46"/>
          <w:szCs w:val="46"/>
          <w:rtl/>
        </w:rPr>
      </w:pPr>
      <w:r w:rsidRPr="00B10D50">
        <w:rPr>
          <w:rFonts w:cs="Nazanin" w:hint="cs"/>
          <w:b/>
          <w:bCs/>
          <w:color w:val="000000" w:themeColor="text1"/>
          <w:sz w:val="46"/>
          <w:szCs w:val="46"/>
          <w:rtl/>
        </w:rPr>
        <w:t>گزارش شناخت</w:t>
      </w:r>
    </w:p>
    <w:p w:rsidR="00745DEF" w:rsidRDefault="00745DEF" w:rsidP="002002E6">
      <w:pPr>
        <w:spacing w:after="240"/>
        <w:jc w:val="center"/>
        <w:rPr>
          <w:rFonts w:cs="Nazanin"/>
          <w:b/>
          <w:bCs/>
          <w:color w:val="000000" w:themeColor="text1"/>
          <w:sz w:val="32"/>
          <w:szCs w:val="32"/>
          <w:rtl/>
        </w:rPr>
      </w:pP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مناقصه </w:t>
      </w:r>
      <w:r w:rsidR="002002E6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عمومي 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يك مرحله</w:t>
      </w:r>
      <w:r>
        <w:rPr>
          <w:rFonts w:cs="Nazanin" w:hint="cs"/>
          <w:b/>
          <w:bCs/>
          <w:color w:val="000000" w:themeColor="text1"/>
          <w:sz w:val="32"/>
          <w:szCs w:val="32"/>
          <w:rtl/>
        </w:rPr>
        <w:t>‌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اي  </w:t>
      </w:r>
      <w:r w:rsidR="00FA1A3B">
        <w:rPr>
          <w:rFonts w:cs="Nazanin" w:hint="cs"/>
          <w:b/>
          <w:bCs/>
          <w:color w:val="000000" w:themeColor="text1"/>
          <w:sz w:val="32"/>
          <w:szCs w:val="32"/>
          <w:rtl/>
        </w:rPr>
        <w:t>7021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/9</w:t>
      </w:r>
      <w:r w:rsidR="003B1B4A">
        <w:rPr>
          <w:rFonts w:cs="Nazanin" w:hint="cs"/>
          <w:b/>
          <w:bCs/>
          <w:color w:val="000000" w:themeColor="text1"/>
          <w:sz w:val="32"/>
          <w:szCs w:val="32"/>
          <w:rtl/>
        </w:rPr>
        <w:t>8</w:t>
      </w:r>
    </w:p>
    <w:p w:rsidR="009A13E9" w:rsidRDefault="003B1B4A" w:rsidP="00AA6C9C">
      <w:pPr>
        <w:jc w:val="center"/>
        <w:rPr>
          <w:rFonts w:cs="Nazanin"/>
          <w:b/>
          <w:bCs/>
          <w:color w:val="000000" w:themeColor="text1"/>
          <w:sz w:val="28"/>
          <w:szCs w:val="28"/>
          <w:rtl/>
        </w:rPr>
      </w:pPr>
      <w:r w:rsidRPr="003B1B4A">
        <w:rPr>
          <w:rFonts w:cs="Nazanin"/>
          <w:b/>
          <w:bCs/>
          <w:color w:val="000000" w:themeColor="text1"/>
          <w:sz w:val="58"/>
          <w:szCs w:val="58"/>
          <w:rtl/>
        </w:rPr>
        <w:t>تهيه و طبخ ، بسته بند</w:t>
      </w:r>
      <w:r w:rsidRPr="003B1B4A">
        <w:rPr>
          <w:rFonts w:cs="Nazanin" w:hint="cs"/>
          <w:b/>
          <w:bCs/>
          <w:color w:val="000000" w:themeColor="text1"/>
          <w:sz w:val="58"/>
          <w:szCs w:val="58"/>
          <w:rtl/>
        </w:rPr>
        <w:t>ی</w:t>
      </w:r>
      <w:r w:rsidRPr="003B1B4A">
        <w:rPr>
          <w:rFonts w:cs="Nazanin" w:hint="eastAsia"/>
          <w:b/>
          <w:bCs/>
          <w:color w:val="000000" w:themeColor="text1"/>
          <w:sz w:val="58"/>
          <w:szCs w:val="58"/>
          <w:rtl/>
        </w:rPr>
        <w:t>،</w:t>
      </w:r>
      <w:r w:rsidRPr="003B1B4A">
        <w:rPr>
          <w:rFonts w:cs="Nazanin"/>
          <w:b/>
          <w:bCs/>
          <w:color w:val="000000" w:themeColor="text1"/>
          <w:sz w:val="58"/>
          <w:szCs w:val="58"/>
          <w:rtl/>
        </w:rPr>
        <w:t xml:space="preserve"> توزيع، سرو غذا و اداره رستوران</w:t>
      </w:r>
      <w:r w:rsidR="009A13E9" w:rsidRPr="009A13E9">
        <w:rPr>
          <w:rFonts w:cs="Nazanin" w:hint="cs"/>
          <w:b/>
          <w:bCs/>
          <w:color w:val="000000" w:themeColor="text1"/>
          <w:sz w:val="58"/>
          <w:szCs w:val="58"/>
          <w:rtl/>
        </w:rPr>
        <w:t xml:space="preserve"> پالايشگاه هفتم </w:t>
      </w:r>
    </w:p>
    <w:p w:rsidR="0089240B" w:rsidRDefault="0089240B" w:rsidP="009A13E9">
      <w:pPr>
        <w:jc w:val="center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شامل فازهاي 17 و 18 و عمليات مشترك (تاسيسات آبرساني شماره 2 و ايستگاه تقليل فشار گاز) </w:t>
      </w:r>
    </w:p>
    <w:p w:rsidR="00745DEF" w:rsidRDefault="00745DEF" w:rsidP="0089240B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3E0EE6" w:rsidRDefault="003E0EE6" w:rsidP="00C16695">
      <w:pPr>
        <w:jc w:val="center"/>
        <w:rPr>
          <w:rFonts w:cs="B Titr"/>
          <w:b/>
          <w:bCs/>
          <w:color w:val="000000" w:themeColor="text1"/>
          <w:sz w:val="40"/>
          <w:szCs w:val="40"/>
          <w:rtl/>
          <w:lang w:bidi="fa-IR"/>
        </w:rPr>
      </w:pPr>
    </w:p>
    <w:p w:rsidR="0096299A" w:rsidRDefault="0096299A" w:rsidP="00B605EE">
      <w:pPr>
        <w:ind w:right="360"/>
        <w:rPr>
          <w:rFonts w:cs="Titr"/>
          <w:u w:val="single"/>
          <w:rtl/>
        </w:rPr>
      </w:pPr>
    </w:p>
    <w:p w:rsidR="00F6067E" w:rsidRPr="00305943" w:rsidRDefault="00585A72" w:rsidP="00B605EE">
      <w:pPr>
        <w:ind w:right="360"/>
        <w:rPr>
          <w:rFonts w:cs="B Titr"/>
          <w:sz w:val="32"/>
          <w:szCs w:val="32"/>
          <w:u w:val="single"/>
          <w:rtl/>
        </w:rPr>
      </w:pPr>
      <w:r w:rsidRPr="00305943">
        <w:rPr>
          <w:rFonts w:cs="B Titr" w:hint="cs"/>
          <w:sz w:val="32"/>
          <w:szCs w:val="32"/>
          <w:u w:val="single"/>
          <w:rtl/>
        </w:rPr>
        <w:t>مشخصات پروژه</w:t>
      </w:r>
      <w:r w:rsidR="00C16695" w:rsidRPr="00305943">
        <w:rPr>
          <w:rFonts w:cs="B Titr" w:hint="cs"/>
          <w:sz w:val="32"/>
          <w:szCs w:val="32"/>
          <w:u w:val="single"/>
          <w:rtl/>
        </w:rPr>
        <w:t xml:space="preserve"> </w:t>
      </w:r>
      <w:r w:rsidRPr="00305943">
        <w:rPr>
          <w:rFonts w:cs="B Titr" w:hint="cs"/>
          <w:sz w:val="32"/>
          <w:szCs w:val="32"/>
          <w:u w:val="single"/>
          <w:rtl/>
        </w:rPr>
        <w:t>:</w:t>
      </w:r>
    </w:p>
    <w:p w:rsidR="00BF7BA0" w:rsidRDefault="001F6B6F" w:rsidP="00B605EE">
      <w:pPr>
        <w:ind w:right="360"/>
        <w:rPr>
          <w:rFonts w:cs="B Titr"/>
          <w:u w:val="single"/>
          <w:rtl/>
        </w:rPr>
      </w:pPr>
      <w:r w:rsidRPr="001F6B6F">
        <w:rPr>
          <w:rtl/>
        </w:rPr>
        <w:pict>
          <v:roundrect id="_x0000_s1026" style="position:absolute;left:0;text-align:left;margin-left:146pt;margin-top:13.05pt;width:325.35pt;height:30.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عنوان مشخصات كلي ،اهداف كلي و كمي مناقصه</w:t>
                  </w: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Pr="009A6C9D" w:rsidRDefault="00DA084D" w:rsidP="00B605EE">
      <w:pPr>
        <w:ind w:right="360"/>
        <w:rPr>
          <w:rFonts w:cs="B Titr"/>
          <w:u w:val="single"/>
          <w:rtl/>
        </w:rPr>
      </w:pPr>
    </w:p>
    <w:p w:rsidR="0083070E" w:rsidRDefault="003B1B4A" w:rsidP="007E6C4F">
      <w:pPr>
        <w:ind w:left="288" w:hanging="284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 w:rsidRPr="003B1B4A">
        <w:rPr>
          <w:rFonts w:cs="Nazanin"/>
          <w:b/>
          <w:bCs/>
          <w:color w:val="000000" w:themeColor="text1"/>
          <w:sz w:val="28"/>
          <w:szCs w:val="28"/>
          <w:rtl/>
        </w:rPr>
        <w:t>تهيه و طبخ ، بسته بند</w:t>
      </w:r>
      <w:r w:rsidRPr="003B1B4A">
        <w:rPr>
          <w:rFonts w:cs="Nazanin" w:hint="cs"/>
          <w:b/>
          <w:bCs/>
          <w:color w:val="000000" w:themeColor="text1"/>
          <w:sz w:val="28"/>
          <w:szCs w:val="28"/>
          <w:rtl/>
        </w:rPr>
        <w:t>ی</w:t>
      </w:r>
      <w:r w:rsidRPr="003B1B4A">
        <w:rPr>
          <w:rFonts w:cs="Nazanin" w:hint="eastAsia"/>
          <w:b/>
          <w:bCs/>
          <w:color w:val="000000" w:themeColor="text1"/>
          <w:sz w:val="28"/>
          <w:szCs w:val="28"/>
          <w:rtl/>
        </w:rPr>
        <w:t>،</w:t>
      </w:r>
      <w:r w:rsidRPr="003B1B4A">
        <w:rPr>
          <w:rFonts w:cs="Nazanin"/>
          <w:b/>
          <w:bCs/>
          <w:color w:val="000000" w:themeColor="text1"/>
          <w:sz w:val="28"/>
          <w:szCs w:val="28"/>
          <w:rtl/>
        </w:rPr>
        <w:t xml:space="preserve"> توزيع، سرو غذا و اداره رستوران)</w:t>
      </w:r>
      <w:r w:rsidRPr="003B1B4A"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 پالايشگاه هفتم</w:t>
      </w:r>
      <w:r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 شامل فازهاي 17 و 18 و عمليات مشترك</w:t>
      </w:r>
      <w:r w:rsidR="0083070E"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 (تاسيسات آبرساني شماره 2 و ايستگاه تقليل فشار گاز) </w:t>
      </w:r>
    </w:p>
    <w:p w:rsidR="00C23486" w:rsidRDefault="001F6B6F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27" style="position:absolute;left:0;text-align:left;margin-left:139.65pt;margin-top:10.5pt;width:325.35pt;height:30.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P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rPr>
                      <w:rFonts w:cs="Nazanin"/>
                      <w:b/>
                      <w:bCs/>
                      <w:sz w:val="30"/>
                      <w:szCs w:val="30"/>
                      <w:rtl/>
                    </w:rPr>
                  </w:pPr>
                  <w:r w:rsidRPr="00DA084D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سازمان اجرايي كارفرما</w:t>
                  </w: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60479A" w:rsidRDefault="000C243B" w:rsidP="003B1B4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نماينده كارفرما در اجراي قرارداد مدير 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و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>دستگاه نظارت رئيس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3B1B4A">
        <w:rPr>
          <w:rFonts w:cs="B Mitra" w:hint="cs"/>
          <w:b/>
          <w:bCs/>
          <w:sz w:val="26"/>
          <w:szCs w:val="26"/>
          <w:rtl/>
        </w:rPr>
        <w:t>منابع انساني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96299A" w:rsidRPr="003C4FFB">
        <w:rPr>
          <w:rFonts w:cs="B Mitra" w:hint="cs"/>
          <w:b/>
          <w:bCs/>
          <w:color w:val="0000CC"/>
          <w:sz w:val="26"/>
          <w:szCs w:val="26"/>
          <w:rtl/>
        </w:rPr>
        <w:t xml:space="preserve"> 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مي باشد.</w:t>
      </w:r>
    </w:p>
    <w:p w:rsidR="000C243B" w:rsidRPr="00C23486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زماني كلي اوليه</w:t>
      </w:r>
    </w:p>
    <w:p w:rsidR="00741B59" w:rsidRPr="0060479A" w:rsidRDefault="00741B59" w:rsidP="003B1B4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3B1B4A">
        <w:rPr>
          <w:rFonts w:cs="B Mitra" w:hint="cs"/>
          <w:b/>
          <w:bCs/>
          <w:sz w:val="26"/>
          <w:szCs w:val="26"/>
          <w:rtl/>
        </w:rPr>
        <w:t>يك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سال شمسي 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Pr="00B470EE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Pr="00B470E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Pr="00C23486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60479A" w:rsidRDefault="0060479A" w:rsidP="0083070E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تعداد خودروها و كانكس‌هاي مورد نياز جهت انجام خدمات و تعهدات موضوع قرارداد به شرح جدول </w:t>
      </w:r>
      <w:r w:rsidR="0083070E">
        <w:rPr>
          <w:rFonts w:cs="B Mitra" w:hint="cs"/>
          <w:b/>
          <w:bCs/>
          <w:sz w:val="26"/>
          <w:szCs w:val="26"/>
          <w:rtl/>
        </w:rPr>
        <w:t>مندرج در اسناد مناقصات،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01AA3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83070E">
        <w:rPr>
          <w:rFonts w:cs="B Mitra" w:hint="cs"/>
          <w:b/>
          <w:bCs/>
          <w:sz w:val="26"/>
          <w:szCs w:val="26"/>
          <w:rtl/>
        </w:rPr>
        <w:t>‌</w:t>
      </w:r>
      <w:r w:rsidRPr="0060479A">
        <w:rPr>
          <w:rFonts w:cs="B Mitra" w:hint="cs"/>
          <w:b/>
          <w:bCs/>
          <w:sz w:val="26"/>
          <w:szCs w:val="26"/>
          <w:rtl/>
        </w:rPr>
        <w:t>باشد كه تأمين آنها به عهده و هزينه پيمانكار مي باشد.</w:t>
      </w:r>
    </w:p>
    <w:p w:rsidR="0060479A" w:rsidRDefault="0060479A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</w:p>
    <w:p w:rsidR="0060479A" w:rsidRPr="0060479A" w:rsidRDefault="0060479A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جدول شماره 1 : </w:t>
      </w:r>
      <w:r w:rsidRPr="0060479A">
        <w:rPr>
          <w:rFonts w:cs="B Mitra" w:hint="cs"/>
          <w:b/>
          <w:bCs/>
          <w:sz w:val="26"/>
          <w:szCs w:val="26"/>
          <w:rtl/>
        </w:rPr>
        <w:t>تعداد خودروها و كانكس‌ها</w:t>
      </w:r>
    </w:p>
    <w:tbl>
      <w:tblPr>
        <w:tblpPr w:leftFromText="180" w:rightFromText="180" w:vertAnchor="text" w:tblpXSpec="right" w:tblpY="1"/>
        <w:tblOverlap w:val="never"/>
        <w:bidiVisual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60479A" w:rsidRPr="004E4B38" w:rsidTr="0060479A">
        <w:trPr>
          <w:trHeight w:val="24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عنوان تجهيزات و ماشين آلات مورد نياز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تعداد مورد نياز</w:t>
            </w:r>
          </w:p>
        </w:tc>
      </w:tr>
      <w:tr w:rsidR="0060479A" w:rsidRPr="004E4B38" w:rsidTr="0060479A">
        <w:trPr>
          <w:trHeight w:val="3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45AEB" w:rsidP="0083070E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B45AEB">
              <w:rPr>
                <w:rFonts w:cs="Mitra"/>
                <w:color w:val="0000CC"/>
                <w:sz w:val="28"/>
                <w:szCs w:val="28"/>
                <w:rtl/>
              </w:rPr>
              <w:t>تامين كاميون مدل 94 به بالا با راننده و با ظرفيت حداقل 5 تن با كانتينر مورد تاييد بهداشت مجهز به موتور سردخانه و ترموگراف.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45AEB" w:rsidP="0060479A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45AEB" w:rsidP="000A5857">
            <w:pPr>
              <w:ind w:left="175"/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</w:pPr>
            <w:r w:rsidRPr="00B45AEB"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  <w:t>تامين وانت سرپوشيده مدل95  به بالا جهت حمل مواد غير پروتئيني با راننده.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45AEB" w:rsidP="0060479A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AB4B25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</w:rPr>
            </w:pPr>
          </w:p>
        </w:tc>
      </w:tr>
      <w:tr w:rsidR="0060479A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  <w:rtl/>
              </w:rPr>
            </w:pPr>
          </w:p>
        </w:tc>
      </w:tr>
      <w:tr w:rsidR="0060479A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7D10BA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  <w:rtl/>
              </w:rPr>
            </w:pPr>
          </w:p>
        </w:tc>
      </w:tr>
    </w:tbl>
    <w:p w:rsidR="0060479A" w:rsidRPr="0060479A" w:rsidRDefault="0060479A" w:rsidP="00BD7725">
      <w:pPr>
        <w:ind w:left="-18"/>
        <w:jc w:val="lowKashida"/>
        <w:rPr>
          <w:rFonts w:cs="B Titr"/>
          <w:sz w:val="16"/>
          <w:szCs w:val="16"/>
          <w:u w:val="single"/>
        </w:rPr>
      </w:pPr>
    </w:p>
    <w:p w:rsidR="000F690F" w:rsidRPr="0060479A" w:rsidRDefault="000F690F" w:rsidP="00501AA3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پيمانكار موظف است علاوه بر تأمين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نفرات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، </w:t>
      </w:r>
      <w:r w:rsidRPr="0060479A">
        <w:rPr>
          <w:rFonts w:cs="B Mitra" w:hint="cs"/>
          <w:b/>
          <w:bCs/>
          <w:sz w:val="26"/>
          <w:szCs w:val="26"/>
          <w:rtl/>
        </w:rPr>
        <w:t>خودروها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و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كانكسها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موضوع قرارداد ، ساير تجهيزات </w:t>
      </w:r>
      <w:r w:rsidR="00501AA3">
        <w:rPr>
          <w:rFonts w:cs="B Mitra" w:hint="cs"/>
          <w:b/>
          <w:bCs/>
          <w:sz w:val="26"/>
          <w:szCs w:val="26"/>
          <w:rtl/>
        </w:rPr>
        <w:t>، ابزار كار،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لوازم و مواد مصرفي مورد نياز 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جهت انجام كارها و تعهدات موضوع قرارداد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و همچنين لوازم و مواد مصرفي مورد نياز </w:t>
      </w:r>
      <w:r w:rsidRPr="0060479A">
        <w:rPr>
          <w:rFonts w:cs="B Mitra" w:hint="cs"/>
          <w:b/>
          <w:bCs/>
          <w:sz w:val="26"/>
          <w:szCs w:val="26"/>
          <w:rtl/>
        </w:rPr>
        <w:t>جهت انجام امورات خود پيمانكار در داخل مجمتع و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 نيز به تعداد كافي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ميني بوس 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جهت تردد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كاركنان شاغل در قرارداد را به هزينه خود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تأمين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نمايد.  </w:t>
      </w:r>
    </w:p>
    <w:p w:rsidR="001D455E" w:rsidRDefault="001D455E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741B59" w:rsidRPr="000F690F" w:rsidRDefault="00741B59" w:rsidP="000F690F">
      <w:pPr>
        <w:ind w:left="-18"/>
        <w:jc w:val="lowKashida"/>
        <w:rPr>
          <w:rFonts w:cs="Titr"/>
          <w:sz w:val="28"/>
          <w:szCs w:val="28"/>
          <w:u w:val="single"/>
          <w:rtl/>
        </w:rPr>
      </w:pPr>
      <w:r w:rsidRPr="000F690F">
        <w:rPr>
          <w:rFonts w:cs="Titr" w:hint="cs"/>
          <w:sz w:val="28"/>
          <w:szCs w:val="28"/>
          <w:u w:val="single"/>
          <w:rtl/>
        </w:rPr>
        <w:t>قوانين خاص و مقررات اختصاصي پروژه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1-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2-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قانون مالياتي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="00741B59" w:rsidRPr="0060479A">
        <w:rPr>
          <w:rFonts w:cs="B Mitra"/>
          <w:b/>
          <w:bCs/>
          <w:sz w:val="26"/>
          <w:szCs w:val="26"/>
        </w:rPr>
        <w:t>HSE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 و ايمني كارفرما</w:t>
      </w:r>
    </w:p>
    <w:p w:rsidR="005C3EF5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4</w:t>
      </w:r>
      <w:r w:rsidR="005C3EF5" w:rsidRPr="0060479A">
        <w:rPr>
          <w:rFonts w:cs="B Mitra" w:hint="cs"/>
          <w:b/>
          <w:bCs/>
          <w:sz w:val="26"/>
          <w:szCs w:val="26"/>
          <w:rtl/>
        </w:rPr>
        <w:t>- راهنمای بهداشت ، ايمنی و محيط زيست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5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2B25FB" w:rsidRDefault="00BC715F" w:rsidP="0083070E">
      <w:pPr>
        <w:tabs>
          <w:tab w:val="left" w:pos="-138"/>
        </w:tabs>
        <w:ind w:left="-138"/>
        <w:jc w:val="lowKashida"/>
        <w:rPr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6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sectPr w:rsidR="002B25FB" w:rsidSect="0034529A">
      <w:footerReference w:type="even" r:id="rId8"/>
      <w:footerReference w:type="default" r:id="rId9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42" w:rsidRDefault="00532F42" w:rsidP="007A200D">
      <w:r>
        <w:separator/>
      </w:r>
    </w:p>
  </w:endnote>
  <w:endnote w:type="continuationSeparator" w:id="0">
    <w:p w:rsidR="00532F42" w:rsidRDefault="00532F42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A" w:rsidRDefault="001F6B6F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047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479A" w:rsidRDefault="00604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sz w:val="28"/>
        <w:szCs w:val="28"/>
        <w:rtl/>
      </w:rPr>
      <w:id w:val="8117829"/>
      <w:docPartObj>
        <w:docPartGallery w:val="Page Numbers (Bottom of Page)"/>
        <w:docPartUnique/>
      </w:docPartObj>
    </w:sdtPr>
    <w:sdtContent>
      <w:p w:rsidR="0060479A" w:rsidRPr="00EB3D98" w:rsidRDefault="001F6B6F">
        <w:pPr>
          <w:pStyle w:val="Footer"/>
          <w:jc w:val="center"/>
          <w:rPr>
            <w:rFonts w:cs="B Mitra"/>
            <w:b/>
            <w:bCs/>
            <w:sz w:val="28"/>
            <w:szCs w:val="28"/>
          </w:rPr>
        </w:pPr>
        <w:r w:rsidRPr="00EB3D98">
          <w:rPr>
            <w:rFonts w:cs="B Mitra"/>
            <w:b/>
            <w:bCs/>
            <w:sz w:val="28"/>
            <w:szCs w:val="28"/>
          </w:rPr>
          <w:fldChar w:fldCharType="begin"/>
        </w:r>
        <w:r w:rsidR="0060479A" w:rsidRPr="00EB3D98">
          <w:rPr>
            <w:rFonts w:cs="B Mitra"/>
            <w:b/>
            <w:bCs/>
            <w:sz w:val="28"/>
            <w:szCs w:val="28"/>
          </w:rPr>
          <w:instrText xml:space="preserve"> PAGE   \* MERGEFORMAT </w:instrText>
        </w:r>
        <w:r w:rsidRPr="00EB3D98">
          <w:rPr>
            <w:rFonts w:cs="B Mitra"/>
            <w:b/>
            <w:bCs/>
            <w:sz w:val="28"/>
            <w:szCs w:val="28"/>
          </w:rPr>
          <w:fldChar w:fldCharType="separate"/>
        </w:r>
        <w:r w:rsidR="00AA6C9C">
          <w:rPr>
            <w:rFonts w:cs="B Mitra"/>
            <w:b/>
            <w:bCs/>
            <w:noProof/>
            <w:sz w:val="28"/>
            <w:szCs w:val="28"/>
            <w:rtl/>
          </w:rPr>
          <w:t>1</w:t>
        </w:r>
        <w:r w:rsidRPr="00EB3D98">
          <w:rPr>
            <w:rFonts w:cs="B Mitra"/>
            <w:b/>
            <w:bCs/>
            <w:sz w:val="28"/>
            <w:szCs w:val="28"/>
          </w:rPr>
          <w:fldChar w:fldCharType="end"/>
        </w:r>
      </w:p>
    </w:sdtContent>
  </w:sdt>
  <w:p w:rsidR="0060479A" w:rsidRDefault="00604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42" w:rsidRDefault="00532F42" w:rsidP="007A200D">
      <w:r>
        <w:separator/>
      </w:r>
    </w:p>
  </w:footnote>
  <w:footnote w:type="continuationSeparator" w:id="0">
    <w:p w:rsidR="00532F42" w:rsidRDefault="00532F42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5527A"/>
    <w:multiLevelType w:val="hybridMultilevel"/>
    <w:tmpl w:val="61D6BB64"/>
    <w:lvl w:ilvl="0" w:tplc="040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3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29"/>
  </w:num>
  <w:num w:numId="13">
    <w:abstractNumId w:val="28"/>
  </w:num>
  <w:num w:numId="14">
    <w:abstractNumId w:val="33"/>
  </w:num>
  <w:num w:numId="15">
    <w:abstractNumId w:val="11"/>
  </w:num>
  <w:num w:numId="16">
    <w:abstractNumId w:val="15"/>
  </w:num>
  <w:num w:numId="17">
    <w:abstractNumId w:val="25"/>
  </w:num>
  <w:num w:numId="18">
    <w:abstractNumId w:val="32"/>
  </w:num>
  <w:num w:numId="19">
    <w:abstractNumId w:val="34"/>
  </w:num>
  <w:num w:numId="20">
    <w:abstractNumId w:val="23"/>
  </w:num>
  <w:num w:numId="21">
    <w:abstractNumId w:val="35"/>
  </w:num>
  <w:num w:numId="22">
    <w:abstractNumId w:val="37"/>
  </w:num>
  <w:num w:numId="23">
    <w:abstractNumId w:val="26"/>
  </w:num>
  <w:num w:numId="24">
    <w:abstractNumId w:val="12"/>
  </w:num>
  <w:num w:numId="25">
    <w:abstractNumId w:val="1"/>
  </w:num>
  <w:num w:numId="26">
    <w:abstractNumId w:val="5"/>
  </w:num>
  <w:num w:numId="27">
    <w:abstractNumId w:val="7"/>
  </w:num>
  <w:num w:numId="28">
    <w:abstractNumId w:val="22"/>
  </w:num>
  <w:num w:numId="29">
    <w:abstractNumId w:val="31"/>
  </w:num>
  <w:num w:numId="30">
    <w:abstractNumId w:val="30"/>
  </w:num>
  <w:num w:numId="31">
    <w:abstractNumId w:val="6"/>
  </w:num>
  <w:num w:numId="32">
    <w:abstractNumId w:val="36"/>
  </w:num>
  <w:num w:numId="33">
    <w:abstractNumId w:val="18"/>
  </w:num>
  <w:num w:numId="34">
    <w:abstractNumId w:val="0"/>
  </w:num>
  <w:num w:numId="35">
    <w:abstractNumId w:val="17"/>
  </w:num>
  <w:num w:numId="36">
    <w:abstractNumId w:val="27"/>
  </w:num>
  <w:num w:numId="37">
    <w:abstractNumId w:val="2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7E"/>
    <w:rsid w:val="0000365C"/>
    <w:rsid w:val="00023AF3"/>
    <w:rsid w:val="000319BA"/>
    <w:rsid w:val="00033297"/>
    <w:rsid w:val="00035A69"/>
    <w:rsid w:val="00035CCF"/>
    <w:rsid w:val="00045272"/>
    <w:rsid w:val="00054D19"/>
    <w:rsid w:val="00073FF2"/>
    <w:rsid w:val="00086332"/>
    <w:rsid w:val="0009211B"/>
    <w:rsid w:val="00095FE1"/>
    <w:rsid w:val="000A50DA"/>
    <w:rsid w:val="000A5857"/>
    <w:rsid w:val="000B0284"/>
    <w:rsid w:val="000B5094"/>
    <w:rsid w:val="000B7358"/>
    <w:rsid w:val="000C243B"/>
    <w:rsid w:val="000C3212"/>
    <w:rsid w:val="000C6C4C"/>
    <w:rsid w:val="000D4F7E"/>
    <w:rsid w:val="000E08BC"/>
    <w:rsid w:val="000F2D77"/>
    <w:rsid w:val="000F690F"/>
    <w:rsid w:val="00102788"/>
    <w:rsid w:val="00112710"/>
    <w:rsid w:val="00117349"/>
    <w:rsid w:val="0012743A"/>
    <w:rsid w:val="00134141"/>
    <w:rsid w:val="00134A34"/>
    <w:rsid w:val="00163BED"/>
    <w:rsid w:val="001647EB"/>
    <w:rsid w:val="00182FDA"/>
    <w:rsid w:val="001B46D8"/>
    <w:rsid w:val="001B5CE5"/>
    <w:rsid w:val="001C076D"/>
    <w:rsid w:val="001C0D5A"/>
    <w:rsid w:val="001D455E"/>
    <w:rsid w:val="001E7E45"/>
    <w:rsid w:val="001F6B6F"/>
    <w:rsid w:val="002002E6"/>
    <w:rsid w:val="00204E77"/>
    <w:rsid w:val="00207CA2"/>
    <w:rsid w:val="00216A24"/>
    <w:rsid w:val="002210C6"/>
    <w:rsid w:val="00223038"/>
    <w:rsid w:val="0022604E"/>
    <w:rsid w:val="00227C32"/>
    <w:rsid w:val="00241424"/>
    <w:rsid w:val="00246C47"/>
    <w:rsid w:val="00260D27"/>
    <w:rsid w:val="00264484"/>
    <w:rsid w:val="002673C6"/>
    <w:rsid w:val="00271697"/>
    <w:rsid w:val="0027459A"/>
    <w:rsid w:val="002748CD"/>
    <w:rsid w:val="00277D22"/>
    <w:rsid w:val="00282F49"/>
    <w:rsid w:val="00284356"/>
    <w:rsid w:val="002A161E"/>
    <w:rsid w:val="002B25FB"/>
    <w:rsid w:val="002B7EC6"/>
    <w:rsid w:val="002C3AF1"/>
    <w:rsid w:val="002D62DB"/>
    <w:rsid w:val="002E073E"/>
    <w:rsid w:val="002E08B4"/>
    <w:rsid w:val="002E2351"/>
    <w:rsid w:val="002E502A"/>
    <w:rsid w:val="002E5790"/>
    <w:rsid w:val="002F3A90"/>
    <w:rsid w:val="002F521A"/>
    <w:rsid w:val="003020B3"/>
    <w:rsid w:val="00302468"/>
    <w:rsid w:val="003042C7"/>
    <w:rsid w:val="00305943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B1B4A"/>
    <w:rsid w:val="003B3233"/>
    <w:rsid w:val="003C4FFB"/>
    <w:rsid w:val="003C5084"/>
    <w:rsid w:val="003C5A0E"/>
    <w:rsid w:val="003C5FCD"/>
    <w:rsid w:val="003C6667"/>
    <w:rsid w:val="003D513F"/>
    <w:rsid w:val="003E0EE6"/>
    <w:rsid w:val="003F34C8"/>
    <w:rsid w:val="00412313"/>
    <w:rsid w:val="00422855"/>
    <w:rsid w:val="00435720"/>
    <w:rsid w:val="004471E6"/>
    <w:rsid w:val="0045321A"/>
    <w:rsid w:val="00463CF5"/>
    <w:rsid w:val="00476103"/>
    <w:rsid w:val="00476759"/>
    <w:rsid w:val="0048132D"/>
    <w:rsid w:val="00492DC8"/>
    <w:rsid w:val="004B0764"/>
    <w:rsid w:val="004B1250"/>
    <w:rsid w:val="004B2432"/>
    <w:rsid w:val="004B3525"/>
    <w:rsid w:val="004F120A"/>
    <w:rsid w:val="004F5F17"/>
    <w:rsid w:val="004F6989"/>
    <w:rsid w:val="00501AA3"/>
    <w:rsid w:val="00513071"/>
    <w:rsid w:val="00513590"/>
    <w:rsid w:val="00513617"/>
    <w:rsid w:val="00514A4E"/>
    <w:rsid w:val="00521D93"/>
    <w:rsid w:val="00522E55"/>
    <w:rsid w:val="005231CD"/>
    <w:rsid w:val="00531E6B"/>
    <w:rsid w:val="00532F42"/>
    <w:rsid w:val="00534C32"/>
    <w:rsid w:val="00551C9F"/>
    <w:rsid w:val="00560566"/>
    <w:rsid w:val="0056747E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420E"/>
    <w:rsid w:val="005D4350"/>
    <w:rsid w:val="005E324F"/>
    <w:rsid w:val="005F023E"/>
    <w:rsid w:val="005F5FDC"/>
    <w:rsid w:val="005F6F20"/>
    <w:rsid w:val="0060083D"/>
    <w:rsid w:val="0060118E"/>
    <w:rsid w:val="0060479A"/>
    <w:rsid w:val="006102E9"/>
    <w:rsid w:val="00622FEB"/>
    <w:rsid w:val="006336FD"/>
    <w:rsid w:val="0064433A"/>
    <w:rsid w:val="006504CA"/>
    <w:rsid w:val="00655C24"/>
    <w:rsid w:val="0066222D"/>
    <w:rsid w:val="00666F31"/>
    <w:rsid w:val="006705CF"/>
    <w:rsid w:val="006747EF"/>
    <w:rsid w:val="006800EA"/>
    <w:rsid w:val="00684A5A"/>
    <w:rsid w:val="0069233F"/>
    <w:rsid w:val="00693E82"/>
    <w:rsid w:val="0069556C"/>
    <w:rsid w:val="00696AAC"/>
    <w:rsid w:val="006B23F8"/>
    <w:rsid w:val="006B77C7"/>
    <w:rsid w:val="006C0253"/>
    <w:rsid w:val="006D42C5"/>
    <w:rsid w:val="006E0446"/>
    <w:rsid w:val="006E6E3B"/>
    <w:rsid w:val="006F4F0D"/>
    <w:rsid w:val="007108B2"/>
    <w:rsid w:val="007213E6"/>
    <w:rsid w:val="00736F96"/>
    <w:rsid w:val="00741B59"/>
    <w:rsid w:val="00744CA5"/>
    <w:rsid w:val="00745DEF"/>
    <w:rsid w:val="0075259C"/>
    <w:rsid w:val="0076041B"/>
    <w:rsid w:val="00772DD9"/>
    <w:rsid w:val="00775B45"/>
    <w:rsid w:val="0077649F"/>
    <w:rsid w:val="00783A12"/>
    <w:rsid w:val="007A200D"/>
    <w:rsid w:val="007A22BD"/>
    <w:rsid w:val="007A4C8F"/>
    <w:rsid w:val="007B305F"/>
    <w:rsid w:val="007C76B9"/>
    <w:rsid w:val="007D10BA"/>
    <w:rsid w:val="007D10BE"/>
    <w:rsid w:val="007E2518"/>
    <w:rsid w:val="007E2C7C"/>
    <w:rsid w:val="007E5771"/>
    <w:rsid w:val="007E6C4F"/>
    <w:rsid w:val="0083070E"/>
    <w:rsid w:val="00832471"/>
    <w:rsid w:val="0083746C"/>
    <w:rsid w:val="0084700E"/>
    <w:rsid w:val="00862C08"/>
    <w:rsid w:val="0087167D"/>
    <w:rsid w:val="008748FD"/>
    <w:rsid w:val="008831D1"/>
    <w:rsid w:val="00890AB7"/>
    <w:rsid w:val="0089240B"/>
    <w:rsid w:val="0089398C"/>
    <w:rsid w:val="00896535"/>
    <w:rsid w:val="008B1774"/>
    <w:rsid w:val="008D0322"/>
    <w:rsid w:val="008D0569"/>
    <w:rsid w:val="008D26A4"/>
    <w:rsid w:val="008E15F7"/>
    <w:rsid w:val="008E300A"/>
    <w:rsid w:val="00900939"/>
    <w:rsid w:val="009035AC"/>
    <w:rsid w:val="009046A0"/>
    <w:rsid w:val="00912CF3"/>
    <w:rsid w:val="00925E38"/>
    <w:rsid w:val="0094309A"/>
    <w:rsid w:val="00944621"/>
    <w:rsid w:val="009451CD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13E9"/>
    <w:rsid w:val="009A5EBC"/>
    <w:rsid w:val="009A66E6"/>
    <w:rsid w:val="009A6C9D"/>
    <w:rsid w:val="009B6EA9"/>
    <w:rsid w:val="009C25FA"/>
    <w:rsid w:val="009E16C4"/>
    <w:rsid w:val="009F4B4A"/>
    <w:rsid w:val="00A12F4F"/>
    <w:rsid w:val="00A1581B"/>
    <w:rsid w:val="00A24693"/>
    <w:rsid w:val="00A27508"/>
    <w:rsid w:val="00A44F10"/>
    <w:rsid w:val="00A559A1"/>
    <w:rsid w:val="00A56931"/>
    <w:rsid w:val="00A6055D"/>
    <w:rsid w:val="00A6136B"/>
    <w:rsid w:val="00A61B10"/>
    <w:rsid w:val="00A73514"/>
    <w:rsid w:val="00A941CC"/>
    <w:rsid w:val="00A956B0"/>
    <w:rsid w:val="00AA6C9C"/>
    <w:rsid w:val="00AB4B25"/>
    <w:rsid w:val="00AC5161"/>
    <w:rsid w:val="00AD6450"/>
    <w:rsid w:val="00AD7340"/>
    <w:rsid w:val="00AE0377"/>
    <w:rsid w:val="00AE6674"/>
    <w:rsid w:val="00AF77E2"/>
    <w:rsid w:val="00B10230"/>
    <w:rsid w:val="00B15ACA"/>
    <w:rsid w:val="00B15BFD"/>
    <w:rsid w:val="00B41078"/>
    <w:rsid w:val="00B42FF9"/>
    <w:rsid w:val="00B45AEB"/>
    <w:rsid w:val="00B470EE"/>
    <w:rsid w:val="00B5463C"/>
    <w:rsid w:val="00B605EE"/>
    <w:rsid w:val="00B70B5A"/>
    <w:rsid w:val="00B77C55"/>
    <w:rsid w:val="00B90B4E"/>
    <w:rsid w:val="00BA6F1E"/>
    <w:rsid w:val="00BB08C4"/>
    <w:rsid w:val="00BC114A"/>
    <w:rsid w:val="00BC3554"/>
    <w:rsid w:val="00BC715F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50E01"/>
    <w:rsid w:val="00C57372"/>
    <w:rsid w:val="00C70E5A"/>
    <w:rsid w:val="00C73EA9"/>
    <w:rsid w:val="00C816C4"/>
    <w:rsid w:val="00C86C90"/>
    <w:rsid w:val="00C9355C"/>
    <w:rsid w:val="00CA7970"/>
    <w:rsid w:val="00CC06D9"/>
    <w:rsid w:val="00CD0BF5"/>
    <w:rsid w:val="00CE7AA9"/>
    <w:rsid w:val="00CF38D1"/>
    <w:rsid w:val="00D05311"/>
    <w:rsid w:val="00D05E7E"/>
    <w:rsid w:val="00D10ADD"/>
    <w:rsid w:val="00D12FFC"/>
    <w:rsid w:val="00D15C63"/>
    <w:rsid w:val="00D27B57"/>
    <w:rsid w:val="00D330D4"/>
    <w:rsid w:val="00D33CD4"/>
    <w:rsid w:val="00D50BF7"/>
    <w:rsid w:val="00D61140"/>
    <w:rsid w:val="00D6231B"/>
    <w:rsid w:val="00D623E4"/>
    <w:rsid w:val="00D65F1D"/>
    <w:rsid w:val="00D90AC1"/>
    <w:rsid w:val="00DA084D"/>
    <w:rsid w:val="00DB60E8"/>
    <w:rsid w:val="00DE5DE3"/>
    <w:rsid w:val="00E03ABF"/>
    <w:rsid w:val="00E10AB2"/>
    <w:rsid w:val="00E31B11"/>
    <w:rsid w:val="00E36359"/>
    <w:rsid w:val="00E42A11"/>
    <w:rsid w:val="00E71211"/>
    <w:rsid w:val="00E77A80"/>
    <w:rsid w:val="00E81EA4"/>
    <w:rsid w:val="00E8333D"/>
    <w:rsid w:val="00E87716"/>
    <w:rsid w:val="00E92EDA"/>
    <w:rsid w:val="00EA399E"/>
    <w:rsid w:val="00EB03E7"/>
    <w:rsid w:val="00EB30E5"/>
    <w:rsid w:val="00EB3D98"/>
    <w:rsid w:val="00EC49AA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70687"/>
    <w:rsid w:val="00F7190D"/>
    <w:rsid w:val="00F77EE6"/>
    <w:rsid w:val="00F815F3"/>
    <w:rsid w:val="00F84919"/>
    <w:rsid w:val="00F94292"/>
    <w:rsid w:val="00F975EF"/>
    <w:rsid w:val="00FA0371"/>
    <w:rsid w:val="00FA0C54"/>
    <w:rsid w:val="00FA1A3B"/>
    <w:rsid w:val="00FA1F5B"/>
    <w:rsid w:val="00FA7B2D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3070E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540004</cp:lastModifiedBy>
  <cp:revision>33</cp:revision>
  <cp:lastPrinted>2013-04-22T07:42:00Z</cp:lastPrinted>
  <dcterms:created xsi:type="dcterms:W3CDTF">2013-09-30T14:48:00Z</dcterms:created>
  <dcterms:modified xsi:type="dcterms:W3CDTF">2019-10-25T06:47:00Z</dcterms:modified>
</cp:coreProperties>
</file>