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992DBC" w:rsidTr="00992DBC">
        <w:trPr>
          <w:trHeight w:val="504"/>
          <w:jc w:val="center"/>
        </w:trPr>
        <w:tc>
          <w:tcPr>
            <w:tcW w:w="11534" w:type="dxa"/>
            <w:gridSpan w:val="2"/>
          </w:tcPr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</w:t>
            </w:r>
          </w:p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</w:p>
          <w:p w:rsidR="00992DBC" w:rsidRPr="00992DBC" w:rsidRDefault="00552213" w:rsidP="00992DBC">
            <w:pPr>
              <w:bidi/>
              <w:rPr>
                <w:rFonts w:cs="B Titr"/>
                <w:i/>
                <w:iCs/>
                <w:sz w:val="22"/>
                <w:szCs w:val="22"/>
                <w:rtl/>
                <w:lang w:bidi="fa-IR"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88778D4" wp14:editId="5033243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-455930</wp:posOffset>
                  </wp:positionV>
                  <wp:extent cx="771525" cy="647700"/>
                  <wp:effectExtent l="0" t="0" r="0" b="0"/>
                  <wp:wrapSquare wrapText="bothSides"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DB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="00992DBC" w:rsidRPr="00992DBC"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992DBC">
        <w:trPr>
          <w:trHeight w:val="747"/>
          <w:jc w:val="center"/>
        </w:trPr>
        <w:tc>
          <w:tcPr>
            <w:tcW w:w="11534" w:type="dxa"/>
            <w:gridSpan w:val="2"/>
          </w:tcPr>
          <w:p w:rsidR="00972349" w:rsidRPr="00021DED" w:rsidRDefault="00972349" w:rsidP="00B74828">
            <w:pPr>
              <w:bidi/>
              <w:spacing w:before="120"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>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482228">
              <w:rPr>
                <w:rFonts w:cs="B Titr" w:hint="cs"/>
                <w:b/>
                <w:bCs/>
                <w:u w:val="single"/>
                <w:rtl/>
                <w:lang w:bidi="fa-IR"/>
              </w:rPr>
              <w:t>2055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7</w:t>
            </w:r>
            <w:r w:rsidR="001F4444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</w:p>
          <w:p w:rsidR="00254495" w:rsidRPr="00482228" w:rsidRDefault="00EB1BAB" w:rsidP="00482228">
            <w:pPr>
              <w:pStyle w:val="Title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تعمير و نگهداري تجهيزات و شبكه‌هاي </w:t>
            </w:r>
            <w:r w:rsidR="00482228" w:rsidRPr="00482228">
              <w:rPr>
                <w:rFonts w:cs="B Titr"/>
                <w:sz w:val="22"/>
                <w:szCs w:val="22"/>
              </w:rPr>
              <w:t>ICT</w:t>
            </w:r>
            <w:r w:rsidR="00482228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 پالايشگاه دوم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 xml:space="preserve">مجتمع گاز پارس </w:t>
            </w:r>
            <w:r w:rsidR="00CB3DAB" w:rsidRPr="00B74828">
              <w:rPr>
                <w:rFonts w:cs="B Titr"/>
                <w:sz w:val="22"/>
                <w:szCs w:val="22"/>
                <w:rtl/>
              </w:rPr>
              <w:t>جنوبي</w:t>
            </w:r>
            <w:r w:rsidR="00B74828" w:rsidRPr="00B7482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B74828" w:rsidRPr="00B74828">
              <w:rPr>
                <w:rFonts w:cs="B Titr" w:hint="cs"/>
                <w:rtl/>
              </w:rPr>
              <w:t>(تجديد)</w:t>
            </w: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EB4B72" w:rsidRDefault="00A368E0" w:rsidP="00A368E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EB4B72" w:rsidRDefault="00A368E0" w:rsidP="00A368E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597438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EB4B72" w:rsidRDefault="00A368E0" w:rsidP="00A368E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24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EB4B72" w:rsidRDefault="00A368E0" w:rsidP="00A368E0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24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1F4444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صلاحيت‌،  به مبلغ </w:t>
            </w:r>
            <w:r w:rsidRPr="00A02708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D47A22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1F4444">
              <w:rPr>
                <w:rFonts w:cs="Titr" w:hint="cs"/>
                <w:b/>
                <w:bCs/>
                <w:sz w:val="20"/>
                <w:szCs w:val="20"/>
                <w:rtl/>
              </w:rPr>
              <w:t>90</w:t>
            </w:r>
            <w:r w:rsidR="00064025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482228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215FF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</w:t>
            </w:r>
            <w:bookmarkStart w:id="0" w:name="_GoBack"/>
            <w:bookmarkEnd w:id="0"/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1E76"/>
    <w:rsid w:val="0002052E"/>
    <w:rsid w:val="00021DED"/>
    <w:rsid w:val="000233D6"/>
    <w:rsid w:val="00033715"/>
    <w:rsid w:val="00043F78"/>
    <w:rsid w:val="00050881"/>
    <w:rsid w:val="00063801"/>
    <w:rsid w:val="00064025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4444"/>
    <w:rsid w:val="001F523F"/>
    <w:rsid w:val="001F5D66"/>
    <w:rsid w:val="002057F7"/>
    <w:rsid w:val="002152D4"/>
    <w:rsid w:val="00215FF9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E0B"/>
    <w:rsid w:val="004531AC"/>
    <w:rsid w:val="00456BA8"/>
    <w:rsid w:val="0048222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213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30E0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92DBC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368E0"/>
    <w:rsid w:val="00A478E2"/>
    <w:rsid w:val="00A501DC"/>
    <w:rsid w:val="00A50CC0"/>
    <w:rsid w:val="00A542EC"/>
    <w:rsid w:val="00A81F83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74828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6D0"/>
    <w:rsid w:val="00D207AD"/>
    <w:rsid w:val="00D2469D"/>
    <w:rsid w:val="00D2489F"/>
    <w:rsid w:val="00D26312"/>
    <w:rsid w:val="00D26488"/>
    <w:rsid w:val="00D30764"/>
    <w:rsid w:val="00D37D64"/>
    <w:rsid w:val="00D42693"/>
    <w:rsid w:val="00D44B47"/>
    <w:rsid w:val="00D47A22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B4B72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احمدی اقدم، پیمان</cp:lastModifiedBy>
  <cp:revision>45</cp:revision>
  <cp:lastPrinted>2017-10-01T04:08:00Z</cp:lastPrinted>
  <dcterms:created xsi:type="dcterms:W3CDTF">2014-06-29T05:50:00Z</dcterms:created>
  <dcterms:modified xsi:type="dcterms:W3CDTF">2019-03-06T08:42:00Z</dcterms:modified>
</cp:coreProperties>
</file>