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B782E" w:rsidP="003E7FD2">
      <w:pPr>
        <w:jc w:val="center"/>
        <w:rPr>
          <w:rFonts w:cs="2  Titr"/>
          <w:b/>
          <w:bCs/>
          <w:rtl/>
        </w:rPr>
      </w:pPr>
      <w:r w:rsidRPr="001B782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732595">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sidR="00732595">
              <w:rPr>
                <w:rFonts w:cs="B Titr" w:hint="cs"/>
                <w:sz w:val="28"/>
                <w:szCs w:val="28"/>
                <w:rtl/>
              </w:rPr>
              <w:t>041-97</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5D1FF5">
              <w:rPr>
                <w:rFonts w:cs="B Titr"/>
                <w:b/>
                <w:bCs/>
                <w:color w:val="FF0000"/>
                <w:sz w:val="36"/>
                <w:szCs w:val="36"/>
              </w:rPr>
              <w:t xml:space="preserve">- </w:t>
            </w:r>
            <w:r w:rsidR="0029258A">
              <w:rPr>
                <w:rFonts w:cs="B Titr"/>
                <w:b/>
                <w:bCs/>
                <w:color w:val="FF0000"/>
                <w:sz w:val="36"/>
                <w:szCs w:val="36"/>
              </w:rPr>
              <w:t>HO</w:t>
            </w:r>
            <w:r w:rsidRPr="005D1FF5">
              <w:rPr>
                <w:rFonts w:cs="B Titr"/>
                <w:b/>
                <w:bCs/>
                <w:color w:val="FF0000"/>
                <w:sz w:val="36"/>
                <w:szCs w:val="36"/>
              </w:rPr>
              <w:t xml:space="preserve"> </w:t>
            </w:r>
            <w:r w:rsidRPr="005D1FF5">
              <w:rPr>
                <w:rFonts w:cs="B Titr" w:hint="cs"/>
                <w:b/>
                <w:bCs/>
                <w:color w:val="FF0000"/>
                <w:sz w:val="36"/>
                <w:szCs w:val="36"/>
                <w:rtl/>
              </w:rPr>
              <w:t xml:space="preserve"> </w:t>
            </w:r>
            <w:r w:rsidR="0029258A" w:rsidRPr="0029258A">
              <w:rPr>
                <w:rFonts w:cs="B Titr" w:hint="cs"/>
                <w:b/>
                <w:bCs/>
                <w:color w:val="FF0000"/>
                <w:sz w:val="36"/>
                <w:szCs w:val="36"/>
                <w:u w:val="single"/>
                <w:rtl/>
              </w:rPr>
              <w:t>9440220</w:t>
            </w:r>
            <w:r w:rsidR="0029258A" w:rsidRPr="0029258A">
              <w:rPr>
                <w:rFonts w:cs="B Titr"/>
                <w:b/>
                <w:bCs/>
                <w:color w:val="FF0000"/>
                <w:sz w:val="36"/>
                <w:szCs w:val="36"/>
                <w:u w:val="single"/>
                <w:rtl/>
              </w:rPr>
              <w:t xml:space="preserve"> </w:t>
            </w:r>
            <w:r w:rsidR="0029258A" w:rsidRPr="0029258A">
              <w:rPr>
                <w:rFonts w:cs="B Titr"/>
                <w:b/>
                <w:bCs/>
                <w:color w:val="FF0000"/>
                <w:sz w:val="36"/>
                <w:szCs w:val="36"/>
                <w:u w:val="single"/>
              </w:rPr>
              <w:t xml:space="preserve"> </w:t>
            </w:r>
          </w:p>
          <w:p w:rsidR="002D30EF" w:rsidRDefault="005577A4" w:rsidP="000F76F5">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0F76F5" w:rsidRPr="000F76F5">
              <w:rPr>
                <w:rFonts w:asciiTheme="minorHAnsi" w:eastAsiaTheme="minorHAnsi" w:hAnsiTheme="minorHAnsi" w:cs="B Titr"/>
                <w:color w:val="FF0000"/>
                <w:sz w:val="32"/>
                <w:szCs w:val="32"/>
              </w:rPr>
              <w:t>P/F ELECTRO MOTOR "ABB"</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FA0A4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FA0A4D"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FA0A4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A0A4D">
      <w:pPr>
        <w:spacing w:after="0"/>
        <w:jc w:val="lowKashida"/>
        <w:rPr>
          <w:rFonts w:cs="B Titr"/>
          <w:b/>
          <w:bCs/>
          <w:rtl/>
        </w:rPr>
      </w:pPr>
      <w:r>
        <w:rPr>
          <w:rFonts w:cs="B Titr" w:hint="cs"/>
          <w:b/>
          <w:bCs/>
          <w:rtl/>
        </w:rPr>
        <w:t xml:space="preserve">حداقل امتياز قابل قبول </w:t>
      </w:r>
      <w:r w:rsidR="00FA0A4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73259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73259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73259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73259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732595">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732595">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A0A4D"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A0A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FA0A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F7" w:rsidRDefault="00BD31F7" w:rsidP="007170AF">
      <w:pPr>
        <w:spacing w:after="0" w:line="240" w:lineRule="auto"/>
      </w:pPr>
      <w:r>
        <w:separator/>
      </w:r>
    </w:p>
  </w:endnote>
  <w:endnote w:type="continuationSeparator" w:id="1">
    <w:p w:rsidR="00BD31F7" w:rsidRDefault="00BD31F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1B782E">
        <w:pPr>
          <w:pStyle w:val="Footer"/>
          <w:jc w:val="center"/>
        </w:pPr>
        <w:fldSimple w:instr=" PAGE   \* MERGEFORMAT ">
          <w:r w:rsidR="00732595">
            <w:rPr>
              <w:noProof/>
              <w:rtl/>
            </w:rPr>
            <w:t>2</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F7" w:rsidRDefault="00BD31F7" w:rsidP="007170AF">
      <w:pPr>
        <w:spacing w:after="0" w:line="240" w:lineRule="auto"/>
      </w:pPr>
      <w:r>
        <w:separator/>
      </w:r>
    </w:p>
  </w:footnote>
  <w:footnote w:type="continuationSeparator" w:id="1">
    <w:p w:rsidR="00BD31F7" w:rsidRDefault="00BD31F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1B782E">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0F76F5"/>
    <w:rsid w:val="001040A0"/>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82E"/>
    <w:rsid w:val="001E0F1A"/>
    <w:rsid w:val="001E2AF9"/>
    <w:rsid w:val="001E7CA8"/>
    <w:rsid w:val="001F1792"/>
    <w:rsid w:val="001F4A56"/>
    <w:rsid w:val="001F514E"/>
    <w:rsid w:val="001F671D"/>
    <w:rsid w:val="00202DCD"/>
    <w:rsid w:val="00204DC5"/>
    <w:rsid w:val="002070F7"/>
    <w:rsid w:val="002073A4"/>
    <w:rsid w:val="002137BE"/>
    <w:rsid w:val="0021763D"/>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2595"/>
    <w:rsid w:val="00736C1E"/>
    <w:rsid w:val="0074073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D31F7"/>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0A4D"/>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205470</cp:lastModifiedBy>
  <cp:revision>4</cp:revision>
  <cp:lastPrinted>2018-06-18T05:48:00Z</cp:lastPrinted>
  <dcterms:created xsi:type="dcterms:W3CDTF">2018-06-18T05:58:00Z</dcterms:created>
  <dcterms:modified xsi:type="dcterms:W3CDTF">2018-12-24T10:50:00Z</dcterms:modified>
</cp:coreProperties>
</file>