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2E7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A63171" w:rsidRPr="0012148A" w:rsidRDefault="00A63171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2B7A14" w:rsidRDefault="00A6495F" w:rsidP="00426B7C">
      <w:pPr>
        <w:bidi/>
        <w:spacing w:after="120"/>
        <w:jc w:val="center"/>
        <w:rPr>
          <w:rFonts w:cs="Titr"/>
          <w:u w:val="single"/>
          <w:rtl/>
          <w:lang w:bidi="fa-IR"/>
        </w:rPr>
      </w:pPr>
      <w:r w:rsidRPr="002B7A14">
        <w:rPr>
          <w:rFonts w:cs="Titr" w:hint="cs"/>
          <w:u w:val="single"/>
          <w:rtl/>
          <w:lang w:bidi="fa-IR"/>
        </w:rPr>
        <w:t xml:space="preserve">آگهي </w:t>
      </w:r>
      <w:r w:rsidR="0082451B" w:rsidRPr="002B7A14">
        <w:rPr>
          <w:rFonts w:cs="Titr" w:hint="cs"/>
          <w:u w:val="single"/>
          <w:rtl/>
          <w:lang w:bidi="fa-IR"/>
        </w:rPr>
        <w:t xml:space="preserve">فراخوان </w:t>
      </w:r>
      <w:r w:rsidR="00475C2E" w:rsidRPr="002B7A14">
        <w:rPr>
          <w:rFonts w:cs="Titr" w:hint="cs"/>
          <w:u w:val="single"/>
          <w:rtl/>
          <w:lang w:bidi="fa-IR"/>
        </w:rPr>
        <w:t xml:space="preserve">ارزيابي كيفي </w:t>
      </w:r>
      <w:r w:rsidR="00426B7C" w:rsidRPr="002B7A14">
        <w:rPr>
          <w:rFonts w:cs="Titr" w:hint="cs"/>
          <w:u w:val="single"/>
          <w:rtl/>
          <w:lang w:bidi="fa-IR"/>
        </w:rPr>
        <w:t xml:space="preserve">مشاور به </w:t>
      </w:r>
      <w:r w:rsidR="00FE03CD" w:rsidRPr="002B7A14">
        <w:rPr>
          <w:rFonts w:cs="Titr" w:hint="cs"/>
          <w:u w:val="single"/>
          <w:rtl/>
          <w:lang w:bidi="fa-IR"/>
        </w:rPr>
        <w:t xml:space="preserve">شماره </w:t>
      </w:r>
      <w:r w:rsidR="003B69E8" w:rsidRPr="002B7A14">
        <w:rPr>
          <w:rFonts w:cs="Titr" w:hint="cs"/>
          <w:u w:val="single"/>
          <w:rtl/>
          <w:lang w:bidi="fa-IR"/>
        </w:rPr>
        <w:t>822/97</w:t>
      </w:r>
    </w:p>
    <w:p w:rsidR="00B07755" w:rsidRDefault="00A6495F" w:rsidP="0076094A">
      <w:pPr>
        <w:bidi/>
        <w:jc w:val="both"/>
        <w:rPr>
          <w:rFonts w:cs="Yagut"/>
          <w:color w:val="000000"/>
          <w:sz w:val="22"/>
          <w:szCs w:val="22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>دارد</w:t>
      </w:r>
      <w:r w:rsidR="00CD0930" w:rsidRPr="00CD0930">
        <w:rPr>
          <w:rFonts w:cs="Titr" w:hint="cs"/>
          <w:sz w:val="28"/>
          <w:szCs w:val="28"/>
          <w:rtl/>
        </w:rPr>
        <w:t xml:space="preserve"> </w:t>
      </w:r>
      <w:r w:rsidR="00CD0930" w:rsidRPr="00CD0930">
        <w:rPr>
          <w:rFonts w:cs="Titr" w:hint="cs"/>
          <w:rtl/>
        </w:rPr>
        <w:t xml:space="preserve">خدمات مشاوره مميزی </w:t>
      </w:r>
      <w:r w:rsidR="009A488C">
        <w:rPr>
          <w:rFonts w:cs="Titr" w:hint="cs"/>
          <w:rtl/>
        </w:rPr>
        <w:t>تفصيلي</w:t>
      </w:r>
      <w:r w:rsidR="00103E10">
        <w:rPr>
          <w:rFonts w:cs="Titr" w:hint="cs"/>
          <w:rtl/>
        </w:rPr>
        <w:t xml:space="preserve"> انرژي</w:t>
      </w:r>
      <w:r w:rsidR="009A488C">
        <w:rPr>
          <w:rFonts w:cs="Titr" w:hint="cs"/>
          <w:rtl/>
        </w:rPr>
        <w:t xml:space="preserve"> مطابق</w:t>
      </w:r>
      <w:r w:rsidR="00CD0930" w:rsidRPr="00CD0930">
        <w:rPr>
          <w:rFonts w:cs="Titr" w:hint="cs"/>
          <w:rtl/>
        </w:rPr>
        <w:t xml:space="preserve"> </w:t>
      </w:r>
      <w:r w:rsidR="0076094A">
        <w:rPr>
          <w:rFonts w:cs="Titr" w:hint="cs"/>
          <w:rtl/>
        </w:rPr>
        <w:t>ايز</w:t>
      </w:r>
      <w:r w:rsidR="0076094A">
        <w:rPr>
          <w:rFonts w:cs="Titr" w:hint="cs"/>
          <w:rtl/>
          <w:lang w:bidi="fa-IR"/>
        </w:rPr>
        <w:t>و 50002 ويرايش 2014</w:t>
      </w:r>
      <w:r w:rsidR="0076094A">
        <w:rPr>
          <w:rFonts w:cs="Titr" w:hint="cs"/>
          <w:rtl/>
        </w:rPr>
        <w:t xml:space="preserve"> </w:t>
      </w:r>
      <w:r w:rsidR="00CD0930" w:rsidRPr="00CD0930">
        <w:rPr>
          <w:rFonts w:cs="Titr" w:hint="cs"/>
          <w:rtl/>
        </w:rPr>
        <w:t>پالايشگاه</w:t>
      </w:r>
      <w:r w:rsidR="002B7A14">
        <w:rPr>
          <w:rFonts w:cs="Titr" w:hint="cs"/>
          <w:rtl/>
        </w:rPr>
        <w:t>‌</w:t>
      </w:r>
      <w:r w:rsidR="00CD0930" w:rsidRPr="00CD0930">
        <w:rPr>
          <w:rFonts w:cs="Titr" w:hint="cs"/>
          <w:rtl/>
        </w:rPr>
        <w:t xml:space="preserve">های </w:t>
      </w:r>
      <w:r w:rsidR="003B69E8">
        <w:rPr>
          <w:rFonts w:cs="Titr" w:hint="cs"/>
          <w:rtl/>
        </w:rPr>
        <w:t>ششم،</w:t>
      </w:r>
      <w:r w:rsidR="002B7A14">
        <w:rPr>
          <w:rFonts w:cs="Titr" w:hint="cs"/>
          <w:rtl/>
        </w:rPr>
        <w:t xml:space="preserve"> </w:t>
      </w:r>
      <w:r w:rsidR="003B69E8">
        <w:rPr>
          <w:rFonts w:cs="Titr" w:hint="cs"/>
          <w:rtl/>
        </w:rPr>
        <w:t>هفتم، نهم</w:t>
      </w:r>
      <w:r w:rsidR="00CD0930" w:rsidRPr="00CD0930">
        <w:rPr>
          <w:rFonts w:cs="Titr" w:hint="cs"/>
          <w:rtl/>
        </w:rPr>
        <w:t xml:space="preserve"> مجتمع گاز پارس جنوبی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را پس از طي فرايند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>براساس</w:t>
      </w:r>
      <w:r w:rsidR="000C07AC">
        <w:rPr>
          <w:rFonts w:cs="Mitra" w:hint="cs"/>
          <w:color w:val="000000"/>
          <w:sz w:val="26"/>
          <w:szCs w:val="26"/>
          <w:rtl/>
          <w:lang w:bidi="fa-IR"/>
        </w:rPr>
        <w:t xml:space="preserve"> روش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A1648B" w:rsidRPr="00543C70">
        <w:rPr>
          <w:rFonts w:cs="Titr" w:hint="cs"/>
          <w:b/>
          <w:bCs/>
          <w:color w:val="000000" w:themeColor="text1"/>
          <w:sz w:val="22"/>
          <w:szCs w:val="22"/>
          <w:rtl/>
          <w:lang w:bidi="fa-IR"/>
        </w:rPr>
        <w:t>كيفيت و قيمت</w:t>
      </w:r>
      <w:r w:rsidR="002B7A14">
        <w:rPr>
          <w:rFonts w:cs="Titr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543C70">
        <w:rPr>
          <w:rFonts w:cs="Mitra" w:hint="cs"/>
          <w:color w:val="000000"/>
          <w:sz w:val="26"/>
          <w:szCs w:val="26"/>
          <w:rtl/>
          <w:lang w:bidi="fa-IR"/>
        </w:rPr>
        <w:t>(</w:t>
      </w:r>
      <w:r w:rsidR="00543C70">
        <w:rPr>
          <w:rFonts w:cs="Mitra"/>
          <w:color w:val="000000"/>
          <w:sz w:val="26"/>
          <w:szCs w:val="26"/>
          <w:lang w:bidi="fa-IR"/>
        </w:rPr>
        <w:t>QCBS</w:t>
      </w:r>
      <w:r w:rsidR="00543C70">
        <w:rPr>
          <w:rFonts w:cs="Mitra" w:hint="cs"/>
          <w:color w:val="000000"/>
          <w:sz w:val="26"/>
          <w:szCs w:val="26"/>
          <w:rtl/>
          <w:lang w:bidi="fa-IR"/>
        </w:rPr>
        <w:t>)</w:t>
      </w:r>
      <w:r w:rsidR="002B7A14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به 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 xml:space="preserve">مشاور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2B7A14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 w:rsidR="002B7A14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عمل مي</w:t>
      </w:r>
      <w:r w:rsidR="002B7A14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مايل به شركت در 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>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</w:t>
      </w:r>
      <w:r w:rsidR="00A1648B">
        <w:rPr>
          <w:rFonts w:cs="Mitra" w:hint="cs"/>
          <w:color w:val="000000"/>
          <w:sz w:val="26"/>
          <w:szCs w:val="26"/>
          <w:rtl/>
          <w:lang w:bidi="fa-IR"/>
        </w:rPr>
        <w:t>شرايط ذيل</w:t>
      </w:r>
      <w:r w:rsidR="009C5B76" w:rsidRPr="00012A7F">
        <w:rPr>
          <w:rFonts w:cs="Yagut" w:hint="cs"/>
          <w:color w:val="000000"/>
          <w:sz w:val="22"/>
          <w:szCs w:val="22"/>
          <w:rtl/>
          <w:lang w:bidi="fa-IR"/>
        </w:rPr>
        <w:t xml:space="preserve">، 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>نسبت به اعلام آمادگي و شركت در مناقصه اقدام نمايند.</w:t>
      </w:r>
    </w:p>
    <w:tbl>
      <w:tblPr>
        <w:bidiVisual/>
        <w:tblW w:w="10496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25"/>
        <w:gridCol w:w="7371"/>
      </w:tblGrid>
      <w:tr w:rsidR="009076EA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9076EA" w:rsidRPr="002D4940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موضوع مناقصه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2D4940" w:rsidRDefault="0076094A" w:rsidP="0076094A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CD0930">
              <w:rPr>
                <w:rFonts w:cs="Titr" w:hint="cs"/>
                <w:rtl/>
              </w:rPr>
              <w:t xml:space="preserve">خدمات مشاوره مميزی </w:t>
            </w:r>
            <w:r>
              <w:rPr>
                <w:rFonts w:cs="Titr" w:hint="cs"/>
                <w:rtl/>
              </w:rPr>
              <w:t>تفصيلي انرژي مطابق</w:t>
            </w:r>
            <w:r w:rsidRPr="00CD0930">
              <w:rPr>
                <w:rFonts w:cs="Titr" w:hint="cs"/>
                <w:rtl/>
              </w:rPr>
              <w:t xml:space="preserve"> </w:t>
            </w:r>
            <w:r>
              <w:rPr>
                <w:rFonts w:cs="Titr" w:hint="cs"/>
                <w:rtl/>
              </w:rPr>
              <w:t>ايز</w:t>
            </w:r>
            <w:r>
              <w:rPr>
                <w:rFonts w:cs="Titr" w:hint="cs"/>
                <w:rtl/>
                <w:lang w:bidi="fa-IR"/>
              </w:rPr>
              <w:t>و 50002 ويرايش 2014</w:t>
            </w:r>
            <w:r>
              <w:rPr>
                <w:rFonts w:cs="Titr" w:hint="cs"/>
                <w:rtl/>
              </w:rPr>
              <w:t xml:space="preserve"> </w:t>
            </w:r>
            <w:r w:rsidRPr="00CD0930">
              <w:rPr>
                <w:rFonts w:cs="Titr" w:hint="cs"/>
                <w:rtl/>
              </w:rPr>
              <w:t xml:space="preserve"> پالايشگاه</w:t>
            </w:r>
            <w:r>
              <w:rPr>
                <w:rFonts w:cs="Titr" w:hint="cs"/>
                <w:rtl/>
              </w:rPr>
              <w:t>‌</w:t>
            </w:r>
            <w:r w:rsidRPr="00CD0930">
              <w:rPr>
                <w:rFonts w:cs="Titr" w:hint="cs"/>
                <w:rtl/>
              </w:rPr>
              <w:t xml:space="preserve">های </w:t>
            </w:r>
            <w:r>
              <w:rPr>
                <w:rFonts w:cs="Titr" w:hint="cs"/>
                <w:rtl/>
              </w:rPr>
              <w:t>ششم، هفتم، نهم</w:t>
            </w:r>
            <w:r w:rsidRPr="00CD0930">
              <w:rPr>
                <w:rFonts w:cs="Titr" w:hint="cs"/>
                <w:rtl/>
              </w:rPr>
              <w:t xml:space="preserve"> مجتمع گاز پارس جنوبی</w:t>
            </w:r>
          </w:p>
        </w:tc>
      </w:tr>
      <w:tr w:rsidR="009076EA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9076EA" w:rsidRPr="002D4940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شماره مناقصه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76094A" w:rsidRDefault="003B69E8" w:rsidP="003B69E8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822</w:t>
            </w:r>
            <w:r w:rsidR="00D21541"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97</w:t>
            </w:r>
          </w:p>
        </w:tc>
      </w:tr>
      <w:tr w:rsidR="0086089D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86089D" w:rsidRPr="002D4940" w:rsidRDefault="0086089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نوع مناقصه 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86089D" w:rsidRPr="0076094A" w:rsidRDefault="0076094A" w:rsidP="0076094A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/>
                <w:b/>
                <w:bCs/>
                <w:lang w:bidi="fa-IR"/>
              </w:rPr>
              <w:t xml:space="preserve"> </w:t>
            </w:r>
            <w:r w:rsidR="003B69E8" w:rsidRPr="0076094A">
              <w:rPr>
                <w:rFonts w:ascii="Arial" w:hAnsi="Arial" w:cs="Zar"/>
                <w:b/>
                <w:bCs/>
                <w:lang w:bidi="fa-IR"/>
              </w:rPr>
              <w:t>QCBS</w:t>
            </w:r>
            <w:r w:rsidR="003B69E8"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(كيفيت و قيمت)</w:t>
            </w:r>
          </w:p>
        </w:tc>
      </w:tr>
      <w:tr w:rsidR="009076EA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9076EA" w:rsidRPr="002D4940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مدت انجام كار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76094A" w:rsidRDefault="003B69E8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18</w:t>
            </w:r>
            <w:r w:rsidR="00D86F10"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ماه شمسي</w:t>
            </w:r>
          </w:p>
        </w:tc>
      </w:tr>
      <w:tr w:rsidR="001F7E3A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1F7E3A" w:rsidRPr="002D4940" w:rsidRDefault="001F7E3A" w:rsidP="001F7E3A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مبلغ برآورد  تقريبي انجام كار(ريال )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1F7E3A" w:rsidRPr="0076094A" w:rsidRDefault="00CD0930" w:rsidP="003B69E8">
            <w:pPr>
              <w:bidi/>
              <w:spacing w:line="276" w:lineRule="auto"/>
              <w:jc w:val="center"/>
              <w:rPr>
                <w:rFonts w:cs="Titr"/>
                <w:highlight w:val="yellow"/>
                <w:rtl/>
                <w:lang w:bidi="fa-IR"/>
              </w:rPr>
            </w:pPr>
            <w:r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000</w:t>
            </w:r>
            <w:r w:rsidR="001F7E3A"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000</w:t>
            </w:r>
            <w:r w:rsidR="001F7E3A"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3B69E8"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000</w:t>
            </w:r>
            <w:r w:rsidR="001F7E3A"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3B69E8"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>6</w:t>
            </w:r>
            <w:r w:rsidR="001F7E3A" w:rsidRPr="0076094A">
              <w:rPr>
                <w:rFonts w:ascii="Arial" w:hAnsi="Arial" w:cs="Zar" w:hint="cs"/>
                <w:b/>
                <w:bCs/>
                <w:rtl/>
                <w:lang w:bidi="fa-IR"/>
              </w:rPr>
              <w:t xml:space="preserve"> ريال</w:t>
            </w:r>
          </w:p>
        </w:tc>
      </w:tr>
      <w:tr w:rsidR="001F7E3A" w:rsidRPr="00E82E1E" w:rsidTr="00285731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1F7E3A" w:rsidRPr="002D4940" w:rsidRDefault="001F7E3A" w:rsidP="001F7E3A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مبلغ تضمين شركت در فرآيند ارجاع كار </w:t>
            </w:r>
          </w:p>
        </w:tc>
        <w:tc>
          <w:tcPr>
            <w:tcW w:w="7371" w:type="dxa"/>
            <w:shd w:val="clear" w:color="auto" w:fill="CCFFFF"/>
          </w:tcPr>
          <w:p w:rsidR="001F7E3A" w:rsidRPr="0076094A" w:rsidRDefault="00D219C7" w:rsidP="003B69E8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000</w:t>
            </w:r>
            <w:r w:rsidR="001F7E3A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/000/</w:t>
            </w:r>
            <w:r w:rsidR="003B69E8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300</w:t>
            </w:r>
            <w:r w:rsidR="001F7E3A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ريال (</w:t>
            </w: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بصورت يكي از تضامين قابل قبول وفق آئين نامه تضمين معاملات دولتي شماره 123402/ت50659هـ مورخ 22/09/94 هيات وزيران</w:t>
            </w:r>
            <w:r w:rsidR="001F7E3A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9076EA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9076EA" w:rsidRPr="002D4940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محل اجرا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76094A" w:rsidRDefault="005B1A4D" w:rsidP="00091155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عسلويه</w:t>
            </w:r>
            <w:r w:rsidR="00F823B1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–</w:t>
            </w:r>
            <w:r w:rsidR="002D6BF5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50E52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پالايشكاه اول تا سوم </w:t>
            </w:r>
            <w:r w:rsidR="00091155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شركت مجتمع گاز پارس جنوبي</w:t>
            </w:r>
          </w:p>
        </w:tc>
      </w:tr>
      <w:tr w:rsidR="009076EA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9076EA" w:rsidRPr="002D4940" w:rsidRDefault="0033326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مهلت </w:t>
            </w:r>
            <w:r w:rsidR="00140A7B"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تحويل</w:t>
            </w: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 مدارك </w:t>
            </w:r>
            <w:r w:rsidR="000C09CE"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(رزومه)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9076EA" w:rsidRPr="0076094A" w:rsidRDefault="00610F28" w:rsidP="00D86017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تا ساعت 16 روز شنبه مورخ 01/10/97</w:t>
            </w:r>
          </w:p>
        </w:tc>
      </w:tr>
      <w:tr w:rsidR="0022526D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22526D" w:rsidRPr="002D4940" w:rsidRDefault="0022526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حداكثر امتياز هر معيار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22526D" w:rsidRPr="0076094A" w:rsidRDefault="001F7E3A" w:rsidP="001F7E3A">
            <w:pPr>
              <w:bidi/>
              <w:spacing w:after="120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 (سابقه اجرائي</w:t>
            </w: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  <w:r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  <w:r w:rsidRPr="0076094A">
              <w:rPr>
                <w:rFonts w:ascii="Albertus Extra Bold" w:hAnsi="Albertus Extra Bold" w:cs="Tit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حسن سابقه در كارهاي قبلي</w:t>
            </w: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(25)</w:t>
            </w:r>
            <w:r w:rsidR="000C07AC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3- توان مالي(25)4- توان فني و برنامه ريزي(20)</w:t>
            </w:r>
          </w:p>
        </w:tc>
      </w:tr>
      <w:tr w:rsidR="00FB74E8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FB74E8" w:rsidRPr="002D4940" w:rsidRDefault="00FB74E8" w:rsidP="00E82E1E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روش ارزيابي و محاسبه امتيازات </w:t>
            </w:r>
            <w:r w:rsidR="00E82E1E"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معيارها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FB74E8" w:rsidRPr="0076094A" w:rsidRDefault="00405E1C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</w:t>
            </w:r>
            <w:r w:rsidR="007435A7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وزني مي</w:t>
            </w:r>
            <w:r w:rsid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387793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387793" w:rsidRPr="002D4940" w:rsidRDefault="00387793" w:rsidP="009F226C">
            <w:pPr>
              <w:bidi/>
              <w:spacing w:line="276" w:lineRule="auto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387793" w:rsidRPr="0076094A" w:rsidRDefault="00387793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926E55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83FD9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(شصت)</w:t>
            </w:r>
            <w:r w:rsidR="00710E99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B83FD9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</w:t>
            </w:r>
            <w:r w:rsid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33326A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33326A" w:rsidRPr="002D4940" w:rsidRDefault="0033326A" w:rsidP="00B90A4A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آدرس پستي</w:t>
            </w:r>
            <w:r w:rsidR="00536E64"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 xml:space="preserve"> محل  تحويل رزومه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33326A" w:rsidRPr="0076094A" w:rsidRDefault="00722F3E" w:rsidP="0076094A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استان بوشهر</w:t>
            </w:r>
            <w:r w:rsidR="005B1A4D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بندر </w:t>
            </w:r>
            <w:r w:rsidR="00405E1C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عسلويه</w:t>
            </w:r>
            <w:r w:rsidR="005B1A4D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405E1C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منطقه ويژه</w:t>
            </w:r>
            <w:r w:rsidR="005B1A4D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اقتصادي</w:t>
            </w:r>
            <w:r w:rsidR="00405E1C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انرژي پارس</w:t>
            </w:r>
            <w:r w:rsidR="00F01273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405E1C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شركت مجتمع گاز پارس جنوبي</w:t>
            </w:r>
            <w:r w:rsidR="00F01273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5B1A4D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B1A4D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پالايشگاه دوم </w:t>
            </w:r>
            <w:r w:rsidR="00F01273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405E1C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ساختمان اداري</w:t>
            </w:r>
            <w:r w:rsidR="005B1A4D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مركزي ستاد، طبقه اول ،</w:t>
            </w:r>
            <w:r w:rsidR="00405E1C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دفتر امور </w:t>
            </w:r>
            <w:r w:rsidR="00C9037F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</w:t>
            </w:r>
            <w:r w:rsid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9037F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405E1C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اق</w:t>
            </w:r>
            <w:r w:rsidR="007435A7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435A7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شماره</w:t>
            </w:r>
            <w:r w:rsidR="00405E1C" w:rsidRPr="0076094A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70A26" w:rsidRPr="0076094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2/101</w:t>
            </w:r>
          </w:p>
        </w:tc>
      </w:tr>
      <w:tr w:rsidR="0033326A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33326A" w:rsidRPr="002D4940" w:rsidRDefault="0033326A" w:rsidP="00B90A4A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تلفن و فاكس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575C12" w:rsidRPr="002D4940" w:rsidRDefault="00575C12" w:rsidP="00FD45D9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 :</w:t>
            </w:r>
            <w:r w:rsidR="00FD45D9"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31312752-077  </w:t>
            </w:r>
            <w:r w:rsidR="00722F3E"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فكس : </w:t>
            </w:r>
            <w:r w:rsidR="00FD45D9"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31312764-077</w:t>
            </w:r>
          </w:p>
        </w:tc>
      </w:tr>
      <w:tr w:rsidR="00F41625" w:rsidRPr="00E82E1E" w:rsidTr="001F7E3A">
        <w:trPr>
          <w:trHeight w:val="454"/>
        </w:trPr>
        <w:tc>
          <w:tcPr>
            <w:tcW w:w="3125" w:type="dxa"/>
            <w:shd w:val="clear" w:color="auto" w:fill="FFCC99"/>
            <w:vAlign w:val="center"/>
          </w:tcPr>
          <w:p w:rsidR="00F41625" w:rsidRPr="002D4940" w:rsidRDefault="00F41625" w:rsidP="00B90A4A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F41625" w:rsidRPr="002D4940" w:rsidRDefault="00FD45D9" w:rsidP="007C65AA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  <w:r w:rsidR="007C65AA"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59</w:t>
            </w:r>
            <w:r w:rsidR="00D86F10"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  </w:t>
            </w:r>
            <w:r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</w:t>
            </w:r>
            <w:r w:rsidR="007C65AA"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55</w:t>
            </w:r>
            <w:r w:rsidR="00736583" w:rsidRPr="002D494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05E1C" w:rsidRPr="002D494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(داخلي )</w:t>
            </w:r>
          </w:p>
        </w:tc>
      </w:tr>
      <w:tr w:rsidR="00E82E1E" w:rsidRPr="00E82E1E" w:rsidTr="001F7E3A">
        <w:tc>
          <w:tcPr>
            <w:tcW w:w="3125" w:type="dxa"/>
            <w:shd w:val="clear" w:color="auto" w:fill="FFCC99"/>
            <w:vAlign w:val="center"/>
          </w:tcPr>
          <w:p w:rsidR="00E82E1E" w:rsidRPr="002D4940" w:rsidRDefault="00E82E1E" w:rsidP="00E82E1E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نوع اخذ تضمين پيش پرداخت</w:t>
            </w:r>
          </w:p>
        </w:tc>
        <w:tc>
          <w:tcPr>
            <w:tcW w:w="7371" w:type="dxa"/>
            <w:shd w:val="clear" w:color="auto" w:fill="CCFFFF"/>
            <w:vAlign w:val="center"/>
          </w:tcPr>
          <w:p w:rsidR="00E82E1E" w:rsidRPr="002D4940" w:rsidRDefault="00E44E76" w:rsidP="00020844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يكي از تضامين قابل قبول وفق آئين نامه تضمين معاملات دولتي شماره 123402/ت50659هـ مورخ 22/09/94 هيات وزيران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مي باشد.</w:t>
            </w:r>
          </w:p>
        </w:tc>
      </w:tr>
      <w:tr w:rsidR="009F226C" w:rsidRPr="00E82E1E" w:rsidTr="0076094A">
        <w:trPr>
          <w:trHeight w:val="1119"/>
        </w:trPr>
        <w:tc>
          <w:tcPr>
            <w:tcW w:w="3125" w:type="dxa"/>
            <w:shd w:val="clear" w:color="auto" w:fill="FFCC99"/>
          </w:tcPr>
          <w:p w:rsidR="009F226C" w:rsidRPr="002D4940" w:rsidRDefault="009F226C" w:rsidP="005909A3">
            <w:pPr>
              <w:bidi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</w:p>
          <w:p w:rsidR="009F226C" w:rsidRPr="0076094A" w:rsidRDefault="009F226C" w:rsidP="0076094A">
            <w:pPr>
              <w:bidi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ميزان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،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روش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پرداخت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و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نحوه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واريز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پيش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پرداخت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Pr="002D4940">
              <w:rPr>
                <w:rFonts w:cs="Titr" w:hint="eastAsia"/>
                <w:color w:val="000000"/>
                <w:sz w:val="18"/>
                <w:szCs w:val="18"/>
                <w:rtl/>
                <w:lang w:bidi="fa-IR"/>
              </w:rPr>
              <w:t>پيمان</w:t>
            </w:r>
            <w:r w:rsidRPr="002D4940">
              <w:rPr>
                <w:rFonts w:cs="Titr"/>
                <w:color w:val="000000"/>
                <w:sz w:val="18"/>
                <w:szCs w:val="18"/>
                <w:rtl/>
                <w:lang w:bidi="fa-IR"/>
              </w:rPr>
              <w:t xml:space="preserve"> :</w:t>
            </w:r>
          </w:p>
        </w:tc>
        <w:tc>
          <w:tcPr>
            <w:tcW w:w="7371" w:type="dxa"/>
            <w:shd w:val="clear" w:color="auto" w:fill="CCFFFF"/>
          </w:tcPr>
          <w:p w:rsidR="009F226C" w:rsidRPr="002D4940" w:rsidRDefault="00C744FE" w:rsidP="008A2661">
            <w:pPr>
              <w:bidi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ميزان پيش پرداخت معادل ده درصد هر مرحله از مبلغ اوليه خدمات بدون كسر كسور قانوني در ازاي ضمانتنامه </w:t>
            </w:r>
            <w:r w:rsidRPr="002D494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بصورت يكي از تضامين قابل قبول وفق آئين نامه تضمين معاملات دولتي شماره 123402/ت50659هـ مورخ 22/09/94 هيات وزيران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مي باشد.</w:t>
            </w:r>
          </w:p>
        </w:tc>
      </w:tr>
    </w:tbl>
    <w:p w:rsidR="008A2661" w:rsidRDefault="008A2661" w:rsidP="009F226C">
      <w:pPr>
        <w:bidi/>
        <w:jc w:val="both"/>
        <w:rPr>
          <w:rFonts w:cs="Titr"/>
          <w:b/>
          <w:bCs/>
          <w:rtl/>
          <w:lang w:bidi="fa-IR"/>
        </w:rPr>
      </w:pPr>
    </w:p>
    <w:p w:rsidR="009D4834" w:rsidRDefault="009D4834" w:rsidP="009D4834">
      <w:pPr>
        <w:bidi/>
        <w:jc w:val="both"/>
        <w:rPr>
          <w:rFonts w:cs="Titr"/>
          <w:b/>
          <w:bCs/>
          <w:rtl/>
          <w:lang w:bidi="fa-IR"/>
        </w:rPr>
      </w:pPr>
    </w:p>
    <w:p w:rsidR="00C94680" w:rsidRPr="00137FBC" w:rsidRDefault="00C94680" w:rsidP="008A2661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lastRenderedPageBreak/>
        <w:t>ساير توضيحات مهم :</w:t>
      </w:r>
    </w:p>
    <w:p w:rsidR="00137FBC" w:rsidRPr="00D86F10" w:rsidRDefault="00137FBC" w:rsidP="00137FBC">
      <w:pPr>
        <w:bidi/>
        <w:jc w:val="both"/>
        <w:rPr>
          <w:rFonts w:cs="Titr"/>
          <w:sz w:val="20"/>
          <w:szCs w:val="20"/>
          <w:rtl/>
          <w:lang w:bidi="fa-IR"/>
        </w:rPr>
      </w:pPr>
    </w:p>
    <w:p w:rsidR="00C94680" w:rsidRPr="00137FBC" w:rsidRDefault="0022526D" w:rsidP="00610F2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610F28">
        <w:rPr>
          <w:rFonts w:cs="Yagut" w:hint="cs"/>
          <w:color w:val="000000"/>
          <w:rtl/>
          <w:lang w:bidi="fa-IR"/>
        </w:rPr>
        <w:t xml:space="preserve"> 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610F28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884B13" w:rsidRPr="00137FBC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 xml:space="preserve">(بخش مناقصات)،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610F28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 xml:space="preserve">دقت مطالعه،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 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به</w:t>
      </w:r>
      <w:r w:rsidR="001B50A5">
        <w:rPr>
          <w:rFonts w:cs="Yagut" w:hint="cs"/>
          <w:color w:val="000000"/>
          <w:rtl/>
          <w:lang w:bidi="fa-IR"/>
        </w:rPr>
        <w:t xml:space="preserve"> ه</w:t>
      </w:r>
      <w:r w:rsidR="00936424" w:rsidRPr="00137FBC">
        <w:rPr>
          <w:rFonts w:cs="Yagut" w:hint="cs"/>
          <w:color w:val="000000"/>
          <w:rtl/>
          <w:lang w:bidi="fa-IR"/>
        </w:rPr>
        <w:t>مراه ساير مدارك</w:t>
      </w:r>
      <w:r w:rsidR="00610F28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8A2661" w:rsidRPr="006F533E" w:rsidRDefault="008643AB" w:rsidP="009D4F25">
      <w:pPr>
        <w:bidi/>
        <w:ind w:right="-426"/>
        <w:jc w:val="both"/>
        <w:rPr>
          <w:rFonts w:cs="Titr"/>
          <w:b/>
          <w:bCs/>
          <w:color w:val="FF0000"/>
          <w:sz w:val="22"/>
          <w:szCs w:val="22"/>
          <w:rtl/>
          <w:lang w:bidi="fa-IR"/>
        </w:rPr>
      </w:pPr>
      <w:r w:rsidRPr="00610F28">
        <w:rPr>
          <w:rFonts w:cs="Yagut" w:hint="cs"/>
          <w:color w:val="FF0000"/>
          <w:rtl/>
          <w:lang w:bidi="fa-IR"/>
        </w:rPr>
        <w:t>3-</w:t>
      </w:r>
      <w:r w:rsidR="000A46A3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 داشتن </w:t>
      </w:r>
      <w:r w:rsidR="008A2661" w:rsidRPr="008A2661">
        <w:rPr>
          <w:rFonts w:cs="Titr"/>
          <w:b/>
          <w:bCs/>
          <w:color w:val="FF0000"/>
          <w:sz w:val="22"/>
          <w:szCs w:val="22"/>
          <w:rtl/>
          <w:lang w:bidi="fa-IR"/>
        </w:rPr>
        <w:t xml:space="preserve">گواهينامه </w:t>
      </w:r>
      <w:r w:rsidR="008A2661" w:rsidRPr="008A2661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 صلاحيت (</w:t>
      </w:r>
      <w:r w:rsidR="008A2661" w:rsidRPr="008A2661">
        <w:rPr>
          <w:rFonts w:cs="Titr"/>
          <w:b/>
          <w:bCs/>
          <w:color w:val="FF0000"/>
          <w:sz w:val="22"/>
          <w:szCs w:val="22"/>
          <w:rtl/>
          <w:lang w:bidi="fa-IR"/>
        </w:rPr>
        <w:t>رتبه بندي</w:t>
      </w:r>
      <w:r w:rsidR="008A2661" w:rsidRPr="008A2661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>)</w:t>
      </w:r>
      <w:r w:rsidR="008A2661" w:rsidRPr="008A2661">
        <w:rPr>
          <w:rFonts w:cs="Titr"/>
          <w:b/>
          <w:bCs/>
          <w:color w:val="FF0000"/>
          <w:sz w:val="22"/>
          <w:szCs w:val="22"/>
          <w:rtl/>
          <w:lang w:bidi="fa-IR"/>
        </w:rPr>
        <w:t xml:space="preserve"> </w:t>
      </w:r>
      <w:r w:rsidR="008A2661" w:rsidRPr="008A2661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اخذ شده </w:t>
      </w:r>
      <w:r w:rsidR="008A2661" w:rsidRPr="008A2661">
        <w:rPr>
          <w:rFonts w:cs="Titr"/>
          <w:b/>
          <w:bCs/>
          <w:color w:val="FF0000"/>
          <w:sz w:val="22"/>
          <w:szCs w:val="22"/>
          <w:rtl/>
          <w:lang w:bidi="fa-IR"/>
        </w:rPr>
        <w:t xml:space="preserve">از </w:t>
      </w:r>
      <w:r w:rsidR="008A2661" w:rsidRPr="008A2661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>سازمان برنامه و بودجه</w:t>
      </w:r>
      <w:r w:rsidR="000A46A3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 و ظرفيت آزاد</w:t>
      </w:r>
      <w:r w:rsidR="008A2661" w:rsidRPr="008A2661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 دررشته بهينه سازي انرژي: </w:t>
      </w:r>
      <w:r w:rsidR="009D4F25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>رتبه</w:t>
      </w:r>
      <w:r w:rsidR="008A2661" w:rsidRPr="008A2661">
        <w:rPr>
          <w:rFonts w:cs="Titr" w:hint="cs"/>
          <w:b/>
          <w:bCs/>
          <w:color w:val="FF0000"/>
          <w:sz w:val="22"/>
          <w:szCs w:val="22"/>
          <w:rtl/>
          <w:lang w:bidi="fa-IR"/>
        </w:rPr>
        <w:t xml:space="preserve"> 3</w:t>
      </w:r>
    </w:p>
    <w:p w:rsidR="009B76B4" w:rsidRPr="009B76B4" w:rsidRDefault="009B76B4" w:rsidP="00610F28">
      <w:pPr>
        <w:bidi/>
        <w:spacing w:line="276" w:lineRule="auto"/>
        <w:jc w:val="both"/>
        <w:rPr>
          <w:rFonts w:cs="Yagut"/>
          <w:color w:val="000000"/>
          <w:lang w:bidi="fa-IR"/>
        </w:rPr>
      </w:pPr>
      <w:r>
        <w:rPr>
          <w:rFonts w:cs="Yagut" w:hint="cs"/>
          <w:color w:val="000000"/>
          <w:rtl/>
          <w:lang w:bidi="fa-IR"/>
        </w:rPr>
        <w:t>4- تعهدنامه عدم مشموليت</w:t>
      </w:r>
      <w:r w:rsidR="009F2F16">
        <w:rPr>
          <w:rFonts w:cs="Yagut" w:hint="cs"/>
          <w:color w:val="000000"/>
          <w:rtl/>
          <w:lang w:bidi="fa-IR"/>
        </w:rPr>
        <w:t xml:space="preserve"> منع مداخله</w:t>
      </w:r>
      <w:r>
        <w:rPr>
          <w:rFonts w:cs="Yagut" w:hint="cs"/>
          <w:color w:val="000000"/>
          <w:rtl/>
          <w:lang w:bidi="fa-IR"/>
        </w:rPr>
        <w:t xml:space="preserve"> </w:t>
      </w:r>
      <w:r w:rsidR="009F2F16" w:rsidRPr="009F2F16">
        <w:rPr>
          <w:rFonts w:cs="Yagut"/>
          <w:color w:val="000000"/>
          <w:rtl/>
          <w:lang w:bidi="fa-IR"/>
        </w:rPr>
        <w:t>وزرا،</w:t>
      </w:r>
      <w:r w:rsidR="009F2F16">
        <w:rPr>
          <w:rFonts w:cs="Yagut" w:hint="cs"/>
          <w:color w:val="000000"/>
          <w:rtl/>
          <w:lang w:bidi="fa-IR"/>
        </w:rPr>
        <w:t xml:space="preserve"> </w:t>
      </w:r>
      <w:r w:rsidR="009F2F16" w:rsidRPr="009F2F16">
        <w:rPr>
          <w:rFonts w:cs="Yagut"/>
          <w:color w:val="000000"/>
          <w:rtl/>
          <w:lang w:bidi="fa-IR"/>
        </w:rPr>
        <w:t>نمايندگان مجلسين و كارمندان در معاملات دولتي و كشوري</w:t>
      </w:r>
      <w:r w:rsidR="009F2F16">
        <w:rPr>
          <w:rFonts w:cs="Yagut" w:hint="cs"/>
          <w:color w:val="000000"/>
          <w:rtl/>
          <w:lang w:bidi="fa-IR"/>
        </w:rPr>
        <w:t xml:space="preserve"> كه توسط صاحبان امضاء مجاز </w:t>
      </w:r>
      <w:r w:rsidR="005C512E">
        <w:rPr>
          <w:rFonts w:cs="Yagut" w:hint="cs"/>
          <w:color w:val="000000"/>
          <w:rtl/>
          <w:lang w:bidi="fa-IR"/>
        </w:rPr>
        <w:t xml:space="preserve">مناقصه گر مهر و امضاء شده باشد به همراه تصوير شناسنامه اعضاي هيئت مديره، مدير عامل </w:t>
      </w:r>
      <w:r w:rsidR="001B50A5">
        <w:rPr>
          <w:rFonts w:cs="Yagut" w:hint="cs"/>
          <w:color w:val="000000"/>
          <w:rtl/>
          <w:lang w:bidi="fa-IR"/>
        </w:rPr>
        <w:t>و بازرسان مناقصه</w:t>
      </w:r>
      <w:r w:rsidR="00610F28">
        <w:rPr>
          <w:rFonts w:cs="Yagut" w:hint="cs"/>
          <w:color w:val="000000"/>
          <w:rtl/>
          <w:lang w:bidi="fa-IR"/>
        </w:rPr>
        <w:t>‌</w:t>
      </w:r>
      <w:r w:rsidR="001B50A5">
        <w:rPr>
          <w:rFonts w:cs="Yagut" w:hint="cs"/>
          <w:color w:val="000000"/>
          <w:rtl/>
          <w:lang w:bidi="fa-IR"/>
        </w:rPr>
        <w:t>گر</w:t>
      </w:r>
    </w:p>
    <w:p w:rsidR="00071D06" w:rsidRDefault="003643A9" w:rsidP="00610F28">
      <w:pPr>
        <w:bidi/>
        <w:spacing w:line="276" w:lineRule="auto"/>
        <w:jc w:val="both"/>
        <w:rPr>
          <w:rFonts w:cs="Yagut"/>
          <w:color w:val="000000"/>
          <w:rtl/>
        </w:rPr>
      </w:pPr>
      <w:r>
        <w:rPr>
          <w:rFonts w:cs="Yagut" w:hint="cs"/>
          <w:color w:val="000000"/>
          <w:rtl/>
          <w:lang w:bidi="fa-IR"/>
        </w:rPr>
        <w:t>5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ارائه</w:t>
      </w:r>
      <w:r w:rsidR="00BD7F2C" w:rsidRPr="00137FBC">
        <w:rPr>
          <w:rFonts w:cs="Yagut" w:hint="cs"/>
          <w:color w:val="000000"/>
          <w:rtl/>
          <w:lang w:bidi="fa-IR"/>
        </w:rPr>
        <w:t xml:space="preserve"> </w:t>
      </w:r>
      <w:r w:rsidR="001C5DDA" w:rsidRPr="00137FBC">
        <w:rPr>
          <w:rFonts w:cs="Yagut" w:hint="cs"/>
          <w:color w:val="000000"/>
          <w:rtl/>
          <w:lang w:bidi="fa-IR"/>
        </w:rPr>
        <w:t xml:space="preserve">گواهي </w:t>
      </w:r>
      <w:r w:rsidR="00620AAB" w:rsidRPr="00137FBC">
        <w:rPr>
          <w:rFonts w:cs="Yagut" w:hint="cs"/>
          <w:color w:val="000000"/>
          <w:rtl/>
          <w:lang w:bidi="fa-IR"/>
        </w:rPr>
        <w:t xml:space="preserve">مرتبط با انجام موضوع مناقصه و يا </w:t>
      </w:r>
      <w:r w:rsidR="00390C82" w:rsidRPr="00137FBC">
        <w:rPr>
          <w:rFonts w:cs="Yagut" w:hint="cs"/>
          <w:color w:val="000000"/>
          <w:rtl/>
          <w:lang w:bidi="fa-IR"/>
        </w:rPr>
        <w:t xml:space="preserve">در </w:t>
      </w:r>
      <w:r w:rsidR="00620AAB" w:rsidRPr="00137FBC">
        <w:rPr>
          <w:rFonts w:cs="Yagut" w:hint="cs"/>
          <w:color w:val="000000"/>
          <w:rtl/>
          <w:lang w:bidi="fa-IR"/>
        </w:rPr>
        <w:t xml:space="preserve">زمينه هاي مشابه </w:t>
      </w:r>
      <w:r w:rsidR="00E22B4F" w:rsidRPr="00137FBC">
        <w:rPr>
          <w:rFonts w:cs="Yagut" w:hint="cs"/>
          <w:color w:val="000000"/>
          <w:rtl/>
        </w:rPr>
        <w:t>و مستندات مربوط به سوابق كارهاي انجام شده يا در حال انجام و تشويق نامه</w:t>
      </w:r>
      <w:r w:rsidR="00610F28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 و رضايت نامه</w:t>
      </w:r>
      <w:r w:rsidR="00610F28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هاي كارفرمايان قبلي</w:t>
      </w:r>
      <w:r w:rsidR="00EB4D55" w:rsidRPr="00137FBC">
        <w:rPr>
          <w:rFonts w:cs="Yagut" w:hint="cs"/>
          <w:color w:val="000000"/>
          <w:rtl/>
        </w:rPr>
        <w:t xml:space="preserve"> و مستندات مربوط به مدارك تحصيلي اعضاء هيات مديره </w:t>
      </w:r>
      <w:r>
        <w:rPr>
          <w:rFonts w:cs="Yagut" w:hint="cs"/>
          <w:color w:val="000000"/>
          <w:rtl/>
        </w:rPr>
        <w:t>مناقصه</w:t>
      </w:r>
      <w:r w:rsidR="00610F28">
        <w:rPr>
          <w:rFonts w:cs="Yagut" w:hint="cs"/>
          <w:color w:val="000000"/>
          <w:rtl/>
        </w:rPr>
        <w:t>‌</w:t>
      </w:r>
      <w:r>
        <w:rPr>
          <w:rFonts w:cs="Yagut" w:hint="cs"/>
          <w:color w:val="000000"/>
          <w:rtl/>
        </w:rPr>
        <w:t>گر</w:t>
      </w:r>
    </w:p>
    <w:p w:rsidR="00DB2BC3" w:rsidRPr="00DB2BC3" w:rsidRDefault="006759EB" w:rsidP="00610F28">
      <w:pPr>
        <w:bidi/>
        <w:spacing w:line="276" w:lineRule="auto"/>
        <w:jc w:val="both"/>
        <w:rPr>
          <w:rFonts w:cs="Yagut"/>
          <w:color w:val="000000"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DB2BC3" w:rsidRPr="00BD60F1">
        <w:rPr>
          <w:rFonts w:cs="Yagut" w:hint="cs"/>
          <w:color w:val="000000"/>
          <w:rtl/>
          <w:lang w:bidi="fa-IR"/>
        </w:rPr>
        <w:t xml:space="preserve">- </w:t>
      </w:r>
      <w:r w:rsidR="00BD60F1" w:rsidRPr="00BD60F1">
        <w:rPr>
          <w:rFonts w:cs="Yagut" w:hint="cs"/>
          <w:rtl/>
          <w:lang w:bidi="fa-IR"/>
        </w:rPr>
        <w:t>ارائه صورت</w:t>
      </w:r>
      <w:r w:rsidR="00610F28">
        <w:rPr>
          <w:rFonts w:cs="Yagut" w:hint="cs"/>
          <w:rtl/>
          <w:lang w:bidi="fa-IR"/>
        </w:rPr>
        <w:t>‌</w:t>
      </w:r>
      <w:r w:rsidR="00BD60F1" w:rsidRPr="00BD60F1">
        <w:rPr>
          <w:rFonts w:cs="Yagut" w:hint="cs"/>
          <w:rtl/>
          <w:lang w:bidi="fa-IR"/>
        </w:rPr>
        <w:t xml:space="preserve">هاي مالي حسابرسي شده - (حسابرسي شده توسط سازمان حسابرسي يا اعضاي جامعه حسابداران رسمي) </w:t>
      </w:r>
      <w:r w:rsidR="00DB2BC3" w:rsidRPr="00BD60F1">
        <w:rPr>
          <w:rFonts w:cs="Yagut" w:hint="cs"/>
          <w:color w:val="000000"/>
          <w:rtl/>
          <w:lang w:bidi="fa-IR"/>
        </w:rPr>
        <w:t>.</w:t>
      </w:r>
      <w:r w:rsidR="00DB2BC3" w:rsidRPr="00DB2BC3">
        <w:rPr>
          <w:rFonts w:cs="Yagut" w:hint="cs"/>
          <w:color w:val="000000"/>
          <w:rtl/>
          <w:lang w:bidi="fa-IR"/>
        </w:rPr>
        <w:t xml:space="preserve"> </w:t>
      </w:r>
    </w:p>
    <w:p w:rsidR="000513F7" w:rsidRPr="00137FBC" w:rsidRDefault="006759EB" w:rsidP="00610F2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0513F7" w:rsidRPr="00137FBC">
        <w:rPr>
          <w:rFonts w:cs="Yagut" w:hint="cs"/>
          <w:color w:val="00000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 </w:t>
      </w:r>
    </w:p>
    <w:p w:rsidR="00936424" w:rsidRPr="00137FBC" w:rsidRDefault="006759EB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936424" w:rsidRPr="00137FBC">
        <w:rPr>
          <w:rFonts w:cs="Yagut" w:hint="cs"/>
          <w:color w:val="000000"/>
          <w:rtl/>
          <w:lang w:bidi="fa-IR"/>
        </w:rPr>
        <w:t xml:space="preserve">-به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610F28">
        <w:rPr>
          <w:rFonts w:cs="Yagut" w:hint="cs"/>
          <w:color w:val="000000"/>
          <w:rtl/>
          <w:lang w:bidi="fa-IR"/>
        </w:rPr>
        <w:t xml:space="preserve"> 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6759EB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610F28">
        <w:rPr>
          <w:rFonts w:cs="Yagut" w:hint="cs"/>
          <w:color w:val="000000"/>
          <w:rtl/>
          <w:lang w:bidi="fa-IR"/>
        </w:rPr>
        <w:t xml:space="preserve"> 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610F28">
        <w:rPr>
          <w:rFonts w:cs="Yagut" w:hint="cs"/>
          <w:color w:val="000000"/>
          <w:rtl/>
          <w:lang w:bidi="fa-IR"/>
        </w:rPr>
        <w:t xml:space="preserve"> 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6759EB" w:rsidP="00610F2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10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>جهت ارزيابي و امتياز</w:t>
      </w:r>
      <w:r w:rsidR="00610F28">
        <w:rPr>
          <w:rFonts w:cs="Yagut" w:hint="cs"/>
          <w:color w:val="000000"/>
          <w:rtl/>
          <w:lang w:bidi="fa-IR"/>
        </w:rPr>
        <w:t>‌</w:t>
      </w:r>
      <w:r w:rsidR="00BD7F2C" w:rsidRPr="00137FBC">
        <w:rPr>
          <w:rFonts w:cs="Yagut" w:hint="cs"/>
          <w:color w:val="000000"/>
          <w:rtl/>
          <w:lang w:bidi="fa-IR"/>
        </w:rPr>
        <w:t xml:space="preserve">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610F28">
        <w:rPr>
          <w:rFonts w:cs="Yagut" w:hint="cs"/>
          <w:color w:val="000000"/>
          <w:rtl/>
          <w:lang w:bidi="fa-IR"/>
        </w:rPr>
        <w:t xml:space="preserve"> 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DB2BC3" w:rsidP="00610F28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6759EB">
        <w:rPr>
          <w:rFonts w:cs="Yagut" w:hint="cs"/>
          <w:color w:val="000000"/>
          <w:rtl/>
          <w:lang w:bidi="fa-IR"/>
        </w:rPr>
        <w:t>1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610F28">
        <w:rPr>
          <w:rFonts w:cs="Yagut" w:hint="cs"/>
          <w:color w:val="000000"/>
          <w:rtl/>
          <w:lang w:bidi="fa-IR"/>
        </w:rPr>
        <w:t xml:space="preserve"> 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 اند مطابق قوانين و مقررات با متخلف رفتار خواهد شد.</w:t>
      </w:r>
    </w:p>
    <w:p w:rsidR="00954A50" w:rsidRPr="00137FBC" w:rsidRDefault="00DB2BC3" w:rsidP="006759EB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6759EB">
        <w:rPr>
          <w:rFonts w:cs="Yagut" w:hint="cs"/>
          <w:color w:val="000000"/>
          <w:rtl/>
          <w:lang w:bidi="fa-IR"/>
        </w:rPr>
        <w:t>2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 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 xml:space="preserve">ساير اطلاعات مربوطه در اسناد مناقصه تحويلي به </w:t>
      </w:r>
      <w:r w:rsidR="00FB211F">
        <w:rPr>
          <w:rFonts w:cs="Yagut" w:hint="cs"/>
          <w:color w:val="000000"/>
          <w:rtl/>
          <w:lang w:bidi="fa-IR"/>
        </w:rPr>
        <w:t>مناقصه گران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تعيين صلاحيت شده متعاقباً اعلام خواهد شد.</w:t>
      </w:r>
    </w:p>
    <w:p w:rsidR="007C65AA" w:rsidRDefault="00DB2BC3" w:rsidP="006759EB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6759EB">
        <w:rPr>
          <w:rFonts w:cs="Yagut" w:hint="cs"/>
          <w:color w:val="000000"/>
          <w:rtl/>
          <w:lang w:bidi="fa-IR"/>
        </w:rPr>
        <w:t>3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</w:t>
      </w:r>
      <w:r w:rsidR="00FB211F">
        <w:rPr>
          <w:rFonts w:cs="Yagut" w:hint="cs"/>
          <w:color w:val="000000"/>
          <w:rtl/>
          <w:lang w:bidi="fa-IR"/>
        </w:rPr>
        <w:t>ناقصه گران</w:t>
      </w:r>
      <w:r w:rsidR="00954A50" w:rsidRPr="00137FBC">
        <w:rPr>
          <w:rFonts w:cs="Yagut" w:hint="cs"/>
          <w:color w:val="000000"/>
          <w:rtl/>
          <w:lang w:bidi="fa-IR"/>
        </w:rPr>
        <w:t xml:space="preserve"> ايجاد نخواهد كرد و پس از مرحله ارزيابي ، تنها از شركت</w:t>
      </w:r>
      <w:r w:rsidR="00610F28">
        <w:rPr>
          <w:rFonts w:cs="Yagut" w:hint="cs"/>
          <w:color w:val="000000"/>
          <w:rtl/>
          <w:lang w:bidi="fa-IR"/>
        </w:rPr>
        <w:t xml:space="preserve"> 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</w:t>
      </w:r>
    </w:p>
    <w:p w:rsidR="002D4940" w:rsidRDefault="002D4940" w:rsidP="002D4940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D57A79" w:rsidRDefault="00954A50" w:rsidP="007C65AA">
      <w:pPr>
        <w:bidi/>
        <w:spacing w:line="276" w:lineRule="auto"/>
        <w:jc w:val="both"/>
        <w:rPr>
          <w:rFonts w:cs="Sina"/>
          <w:sz w:val="20"/>
          <w:szCs w:val="20"/>
          <w:rtl/>
          <w:lang w:bidi="fa-IR"/>
        </w:rPr>
      </w:pP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</w:t>
      </w:r>
    </w:p>
    <w:sectPr w:rsidR="00D57A79" w:rsidSect="00610F28">
      <w:headerReference w:type="default" r:id="rId10"/>
      <w:footerReference w:type="default" r:id="rId11"/>
      <w:pgSz w:w="12240" w:h="15840"/>
      <w:pgMar w:top="142" w:right="900" w:bottom="284" w:left="90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5D" w:rsidRDefault="0032415D" w:rsidP="00926E55">
      <w:r>
        <w:separator/>
      </w:r>
    </w:p>
  </w:endnote>
  <w:endnote w:type="continuationSeparator" w:id="1">
    <w:p w:rsidR="0032415D" w:rsidRDefault="0032415D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780"/>
      <w:docPartObj>
        <w:docPartGallery w:val="Page Numbers (Bottom of Page)"/>
        <w:docPartUnique/>
      </w:docPartObj>
    </w:sdtPr>
    <w:sdtEndPr>
      <w:rPr>
        <w:rFonts w:cs="Titr"/>
        <w:sz w:val="28"/>
        <w:szCs w:val="28"/>
      </w:rPr>
    </w:sdtEndPr>
    <w:sdtContent>
      <w:p w:rsidR="002B7A14" w:rsidRDefault="002B7A14">
        <w:pPr>
          <w:pStyle w:val="Footer"/>
          <w:jc w:val="center"/>
        </w:pPr>
        <w:r w:rsidRPr="002B7A14">
          <w:rPr>
            <w:rFonts w:cs="Titr"/>
            <w:sz w:val="28"/>
            <w:szCs w:val="28"/>
          </w:rPr>
          <w:fldChar w:fldCharType="begin"/>
        </w:r>
        <w:r w:rsidRPr="002B7A14">
          <w:rPr>
            <w:rFonts w:cs="Titr"/>
            <w:sz w:val="28"/>
            <w:szCs w:val="28"/>
          </w:rPr>
          <w:instrText xml:space="preserve"> PAGE   \* MERGEFORMAT </w:instrText>
        </w:r>
        <w:r w:rsidRPr="002B7A14">
          <w:rPr>
            <w:rFonts w:cs="Titr"/>
            <w:sz w:val="28"/>
            <w:szCs w:val="28"/>
          </w:rPr>
          <w:fldChar w:fldCharType="separate"/>
        </w:r>
        <w:r w:rsidR="00610F28">
          <w:rPr>
            <w:rFonts w:cs="Titr"/>
            <w:noProof/>
            <w:sz w:val="28"/>
            <w:szCs w:val="28"/>
          </w:rPr>
          <w:t>2</w:t>
        </w:r>
        <w:r w:rsidRPr="002B7A14">
          <w:rPr>
            <w:rFonts w:cs="Titr"/>
            <w:sz w:val="28"/>
            <w:szCs w:val="28"/>
          </w:rPr>
          <w:fldChar w:fldCharType="end"/>
        </w:r>
      </w:p>
    </w:sdtContent>
  </w:sdt>
  <w:p w:rsidR="002B7A14" w:rsidRDefault="002B7A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5D" w:rsidRDefault="0032415D" w:rsidP="00926E55">
      <w:r>
        <w:separator/>
      </w:r>
    </w:p>
  </w:footnote>
  <w:footnote w:type="continuationSeparator" w:id="1">
    <w:p w:rsidR="0032415D" w:rsidRDefault="0032415D" w:rsidP="0092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71" w:rsidRPr="00381239" w:rsidRDefault="00A63171" w:rsidP="00381239">
    <w:pPr>
      <w:pStyle w:val="Header"/>
      <w:bidi/>
      <w:rPr>
        <w:rFonts w:cs="B Lotus" w:hint="cs"/>
        <w:sz w:val="28"/>
        <w:szCs w:val="28"/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40D21"/>
    <w:rsid w:val="00041F7C"/>
    <w:rsid w:val="0004279F"/>
    <w:rsid w:val="00043151"/>
    <w:rsid w:val="000513F7"/>
    <w:rsid w:val="00061008"/>
    <w:rsid w:val="00062A9D"/>
    <w:rsid w:val="00071D06"/>
    <w:rsid w:val="00072869"/>
    <w:rsid w:val="00082DC1"/>
    <w:rsid w:val="00085ED6"/>
    <w:rsid w:val="0009106A"/>
    <w:rsid w:val="0009113E"/>
    <w:rsid w:val="00091155"/>
    <w:rsid w:val="0009709B"/>
    <w:rsid w:val="000A3971"/>
    <w:rsid w:val="000A3ACC"/>
    <w:rsid w:val="000A46A3"/>
    <w:rsid w:val="000B0CBD"/>
    <w:rsid w:val="000B2DD7"/>
    <w:rsid w:val="000B2E86"/>
    <w:rsid w:val="000B577E"/>
    <w:rsid w:val="000C07AC"/>
    <w:rsid w:val="000C09CE"/>
    <w:rsid w:val="000C3BA4"/>
    <w:rsid w:val="000C54B6"/>
    <w:rsid w:val="000D2539"/>
    <w:rsid w:val="000E02E7"/>
    <w:rsid w:val="000E7138"/>
    <w:rsid w:val="000F581C"/>
    <w:rsid w:val="00103E10"/>
    <w:rsid w:val="0010402D"/>
    <w:rsid w:val="001075F3"/>
    <w:rsid w:val="001243EE"/>
    <w:rsid w:val="00126223"/>
    <w:rsid w:val="00137FBC"/>
    <w:rsid w:val="00140A7B"/>
    <w:rsid w:val="0015509E"/>
    <w:rsid w:val="00155A27"/>
    <w:rsid w:val="00157E28"/>
    <w:rsid w:val="001631A1"/>
    <w:rsid w:val="00163AD1"/>
    <w:rsid w:val="00164159"/>
    <w:rsid w:val="001702E5"/>
    <w:rsid w:val="001727AC"/>
    <w:rsid w:val="00174DC6"/>
    <w:rsid w:val="00185424"/>
    <w:rsid w:val="00185D2C"/>
    <w:rsid w:val="00197A4C"/>
    <w:rsid w:val="001A3A00"/>
    <w:rsid w:val="001A461F"/>
    <w:rsid w:val="001A5F3A"/>
    <w:rsid w:val="001A77FB"/>
    <w:rsid w:val="001A7A75"/>
    <w:rsid w:val="001A7F14"/>
    <w:rsid w:val="001B4491"/>
    <w:rsid w:val="001B50A5"/>
    <w:rsid w:val="001C5DDA"/>
    <w:rsid w:val="001C7DA3"/>
    <w:rsid w:val="001D20E8"/>
    <w:rsid w:val="001D31A5"/>
    <w:rsid w:val="001D66D7"/>
    <w:rsid w:val="001E12DB"/>
    <w:rsid w:val="001F2797"/>
    <w:rsid w:val="001F66A3"/>
    <w:rsid w:val="001F7E3A"/>
    <w:rsid w:val="002057F7"/>
    <w:rsid w:val="00205976"/>
    <w:rsid w:val="00205EDD"/>
    <w:rsid w:val="00215759"/>
    <w:rsid w:val="00222F95"/>
    <w:rsid w:val="00223D3F"/>
    <w:rsid w:val="0022526D"/>
    <w:rsid w:val="0023513F"/>
    <w:rsid w:val="00246524"/>
    <w:rsid w:val="00247492"/>
    <w:rsid w:val="002533D8"/>
    <w:rsid w:val="00255523"/>
    <w:rsid w:val="002669E9"/>
    <w:rsid w:val="00270A26"/>
    <w:rsid w:val="0027293E"/>
    <w:rsid w:val="00275541"/>
    <w:rsid w:val="00275AC6"/>
    <w:rsid w:val="00281E77"/>
    <w:rsid w:val="00285731"/>
    <w:rsid w:val="00291A26"/>
    <w:rsid w:val="002938A8"/>
    <w:rsid w:val="00293B96"/>
    <w:rsid w:val="002966CF"/>
    <w:rsid w:val="002A0772"/>
    <w:rsid w:val="002A4147"/>
    <w:rsid w:val="002B5FAA"/>
    <w:rsid w:val="002B5FF3"/>
    <w:rsid w:val="002B7A14"/>
    <w:rsid w:val="002C6A8D"/>
    <w:rsid w:val="002D0909"/>
    <w:rsid w:val="002D4940"/>
    <w:rsid w:val="002D6BF5"/>
    <w:rsid w:val="002E0794"/>
    <w:rsid w:val="002E23F6"/>
    <w:rsid w:val="002E3AA5"/>
    <w:rsid w:val="002E40BC"/>
    <w:rsid w:val="002F2496"/>
    <w:rsid w:val="002F4A12"/>
    <w:rsid w:val="00304B0C"/>
    <w:rsid w:val="00316E71"/>
    <w:rsid w:val="0032415D"/>
    <w:rsid w:val="00326C25"/>
    <w:rsid w:val="003272CE"/>
    <w:rsid w:val="00327432"/>
    <w:rsid w:val="00327A70"/>
    <w:rsid w:val="0033326A"/>
    <w:rsid w:val="003643A9"/>
    <w:rsid w:val="003736AB"/>
    <w:rsid w:val="00381239"/>
    <w:rsid w:val="00382170"/>
    <w:rsid w:val="00382CAB"/>
    <w:rsid w:val="00387793"/>
    <w:rsid w:val="00390C82"/>
    <w:rsid w:val="00392A11"/>
    <w:rsid w:val="00396E3C"/>
    <w:rsid w:val="003973F5"/>
    <w:rsid w:val="003A2578"/>
    <w:rsid w:val="003A4108"/>
    <w:rsid w:val="003B0722"/>
    <w:rsid w:val="003B50B7"/>
    <w:rsid w:val="003B69E8"/>
    <w:rsid w:val="003C136F"/>
    <w:rsid w:val="003C2579"/>
    <w:rsid w:val="003C5BF4"/>
    <w:rsid w:val="003D20F8"/>
    <w:rsid w:val="003D400E"/>
    <w:rsid w:val="003D63F0"/>
    <w:rsid w:val="003D7D94"/>
    <w:rsid w:val="003E295B"/>
    <w:rsid w:val="003E3E38"/>
    <w:rsid w:val="003E678D"/>
    <w:rsid w:val="00405E1C"/>
    <w:rsid w:val="0040639C"/>
    <w:rsid w:val="00407E56"/>
    <w:rsid w:val="00417F88"/>
    <w:rsid w:val="00426B7C"/>
    <w:rsid w:val="00433413"/>
    <w:rsid w:val="0043556D"/>
    <w:rsid w:val="00435D1B"/>
    <w:rsid w:val="004377D9"/>
    <w:rsid w:val="00441E2D"/>
    <w:rsid w:val="00452F50"/>
    <w:rsid w:val="00454868"/>
    <w:rsid w:val="004614D5"/>
    <w:rsid w:val="004641B3"/>
    <w:rsid w:val="00475C2E"/>
    <w:rsid w:val="0048339C"/>
    <w:rsid w:val="00483423"/>
    <w:rsid w:val="00483D25"/>
    <w:rsid w:val="00493AA9"/>
    <w:rsid w:val="004A726F"/>
    <w:rsid w:val="004A7CD5"/>
    <w:rsid w:val="004B4CA0"/>
    <w:rsid w:val="004C3231"/>
    <w:rsid w:val="004C36CD"/>
    <w:rsid w:val="004C77C0"/>
    <w:rsid w:val="004D1EF6"/>
    <w:rsid w:val="004D573B"/>
    <w:rsid w:val="004D7CCC"/>
    <w:rsid w:val="004E54AA"/>
    <w:rsid w:val="004F0366"/>
    <w:rsid w:val="004F417C"/>
    <w:rsid w:val="004F4DE2"/>
    <w:rsid w:val="004F7CC7"/>
    <w:rsid w:val="005019D9"/>
    <w:rsid w:val="0050207E"/>
    <w:rsid w:val="00505A22"/>
    <w:rsid w:val="005114E4"/>
    <w:rsid w:val="0051451E"/>
    <w:rsid w:val="00520F41"/>
    <w:rsid w:val="00521B83"/>
    <w:rsid w:val="0052611B"/>
    <w:rsid w:val="0053040A"/>
    <w:rsid w:val="00533825"/>
    <w:rsid w:val="00535C8D"/>
    <w:rsid w:val="00536BAA"/>
    <w:rsid w:val="00536E64"/>
    <w:rsid w:val="0054058D"/>
    <w:rsid w:val="00543C70"/>
    <w:rsid w:val="00543C7E"/>
    <w:rsid w:val="00544F77"/>
    <w:rsid w:val="00553F4C"/>
    <w:rsid w:val="00556BC9"/>
    <w:rsid w:val="00563357"/>
    <w:rsid w:val="00564973"/>
    <w:rsid w:val="0057129A"/>
    <w:rsid w:val="00575C12"/>
    <w:rsid w:val="005830F7"/>
    <w:rsid w:val="00583606"/>
    <w:rsid w:val="00586E0D"/>
    <w:rsid w:val="005909A3"/>
    <w:rsid w:val="00594751"/>
    <w:rsid w:val="00596586"/>
    <w:rsid w:val="005A2F78"/>
    <w:rsid w:val="005B1A4D"/>
    <w:rsid w:val="005B3C6E"/>
    <w:rsid w:val="005B4351"/>
    <w:rsid w:val="005C0E79"/>
    <w:rsid w:val="005C4910"/>
    <w:rsid w:val="005C512E"/>
    <w:rsid w:val="005D0752"/>
    <w:rsid w:val="005E0F2B"/>
    <w:rsid w:val="005E2179"/>
    <w:rsid w:val="005E47D7"/>
    <w:rsid w:val="005E660F"/>
    <w:rsid w:val="005F7082"/>
    <w:rsid w:val="006072ED"/>
    <w:rsid w:val="00610F28"/>
    <w:rsid w:val="00612B93"/>
    <w:rsid w:val="00612B95"/>
    <w:rsid w:val="00617738"/>
    <w:rsid w:val="00620AAB"/>
    <w:rsid w:val="00620BB0"/>
    <w:rsid w:val="00631643"/>
    <w:rsid w:val="00633CD1"/>
    <w:rsid w:val="00640EE6"/>
    <w:rsid w:val="00645B99"/>
    <w:rsid w:val="00651CAF"/>
    <w:rsid w:val="00654DE7"/>
    <w:rsid w:val="00656853"/>
    <w:rsid w:val="00657087"/>
    <w:rsid w:val="006744D7"/>
    <w:rsid w:val="006759EB"/>
    <w:rsid w:val="00684C8B"/>
    <w:rsid w:val="00691306"/>
    <w:rsid w:val="00693081"/>
    <w:rsid w:val="006934E3"/>
    <w:rsid w:val="006A03FC"/>
    <w:rsid w:val="006A2B85"/>
    <w:rsid w:val="006A2CBF"/>
    <w:rsid w:val="006A4F90"/>
    <w:rsid w:val="006A7691"/>
    <w:rsid w:val="006A7E1E"/>
    <w:rsid w:val="006C0BB8"/>
    <w:rsid w:val="006C45CB"/>
    <w:rsid w:val="006D0F35"/>
    <w:rsid w:val="006D1928"/>
    <w:rsid w:val="006D7914"/>
    <w:rsid w:val="006E1952"/>
    <w:rsid w:val="006E4DA6"/>
    <w:rsid w:val="006E7F80"/>
    <w:rsid w:val="006F107F"/>
    <w:rsid w:val="0070457C"/>
    <w:rsid w:val="007058A2"/>
    <w:rsid w:val="00707104"/>
    <w:rsid w:val="0071023D"/>
    <w:rsid w:val="00710E99"/>
    <w:rsid w:val="00722F3E"/>
    <w:rsid w:val="0073269A"/>
    <w:rsid w:val="00734903"/>
    <w:rsid w:val="00736583"/>
    <w:rsid w:val="0074279A"/>
    <w:rsid w:val="007435A7"/>
    <w:rsid w:val="00744347"/>
    <w:rsid w:val="00747E91"/>
    <w:rsid w:val="00751002"/>
    <w:rsid w:val="007511B6"/>
    <w:rsid w:val="0076094A"/>
    <w:rsid w:val="00761B3F"/>
    <w:rsid w:val="0076757A"/>
    <w:rsid w:val="007679C5"/>
    <w:rsid w:val="00767FAE"/>
    <w:rsid w:val="00773FFF"/>
    <w:rsid w:val="00774D4E"/>
    <w:rsid w:val="00777815"/>
    <w:rsid w:val="00780EB3"/>
    <w:rsid w:val="00781794"/>
    <w:rsid w:val="00782736"/>
    <w:rsid w:val="007869B3"/>
    <w:rsid w:val="0079080F"/>
    <w:rsid w:val="007954CE"/>
    <w:rsid w:val="007B127E"/>
    <w:rsid w:val="007C17A4"/>
    <w:rsid w:val="007C4ED5"/>
    <w:rsid w:val="007C65AA"/>
    <w:rsid w:val="007D3F9A"/>
    <w:rsid w:val="007D7851"/>
    <w:rsid w:val="007E36FE"/>
    <w:rsid w:val="007E6199"/>
    <w:rsid w:val="007F24FD"/>
    <w:rsid w:val="00805557"/>
    <w:rsid w:val="008153D0"/>
    <w:rsid w:val="00821EA7"/>
    <w:rsid w:val="0082451B"/>
    <w:rsid w:val="0082481A"/>
    <w:rsid w:val="00825D67"/>
    <w:rsid w:val="00831E67"/>
    <w:rsid w:val="008353AE"/>
    <w:rsid w:val="00855735"/>
    <w:rsid w:val="00855A5F"/>
    <w:rsid w:val="008567F4"/>
    <w:rsid w:val="008601E0"/>
    <w:rsid w:val="0086089D"/>
    <w:rsid w:val="00861F1B"/>
    <w:rsid w:val="0086406E"/>
    <w:rsid w:val="008643AB"/>
    <w:rsid w:val="00864D48"/>
    <w:rsid w:val="00867452"/>
    <w:rsid w:val="00870A6D"/>
    <w:rsid w:val="00871F40"/>
    <w:rsid w:val="008747DC"/>
    <w:rsid w:val="00877E3B"/>
    <w:rsid w:val="00884B13"/>
    <w:rsid w:val="008862AB"/>
    <w:rsid w:val="00886A11"/>
    <w:rsid w:val="008942EF"/>
    <w:rsid w:val="008952A2"/>
    <w:rsid w:val="008A0E06"/>
    <w:rsid w:val="008A2661"/>
    <w:rsid w:val="008A6064"/>
    <w:rsid w:val="008C3C98"/>
    <w:rsid w:val="008C5D94"/>
    <w:rsid w:val="008C5FD5"/>
    <w:rsid w:val="008D7643"/>
    <w:rsid w:val="008E4E93"/>
    <w:rsid w:val="008F4652"/>
    <w:rsid w:val="009027A3"/>
    <w:rsid w:val="009076EA"/>
    <w:rsid w:val="009138FE"/>
    <w:rsid w:val="0092455C"/>
    <w:rsid w:val="009246A9"/>
    <w:rsid w:val="00926E55"/>
    <w:rsid w:val="009363D5"/>
    <w:rsid w:val="00936424"/>
    <w:rsid w:val="00943CF3"/>
    <w:rsid w:val="00947742"/>
    <w:rsid w:val="00950ECC"/>
    <w:rsid w:val="00952698"/>
    <w:rsid w:val="00952C18"/>
    <w:rsid w:val="00954A50"/>
    <w:rsid w:val="0095592A"/>
    <w:rsid w:val="00963AAB"/>
    <w:rsid w:val="00964296"/>
    <w:rsid w:val="00966715"/>
    <w:rsid w:val="0097037B"/>
    <w:rsid w:val="009811DD"/>
    <w:rsid w:val="0098460E"/>
    <w:rsid w:val="009878B3"/>
    <w:rsid w:val="009878E7"/>
    <w:rsid w:val="009879E1"/>
    <w:rsid w:val="00996ACC"/>
    <w:rsid w:val="009A06BA"/>
    <w:rsid w:val="009A4509"/>
    <w:rsid w:val="009A488C"/>
    <w:rsid w:val="009A52D3"/>
    <w:rsid w:val="009B5A68"/>
    <w:rsid w:val="009B76B4"/>
    <w:rsid w:val="009C0BC4"/>
    <w:rsid w:val="009C1B57"/>
    <w:rsid w:val="009C2601"/>
    <w:rsid w:val="009C5B76"/>
    <w:rsid w:val="009C65BF"/>
    <w:rsid w:val="009D0CA4"/>
    <w:rsid w:val="009D25FB"/>
    <w:rsid w:val="009D35CD"/>
    <w:rsid w:val="009D4834"/>
    <w:rsid w:val="009D4F25"/>
    <w:rsid w:val="009D51D7"/>
    <w:rsid w:val="009D6BCE"/>
    <w:rsid w:val="009E0AB0"/>
    <w:rsid w:val="009E137F"/>
    <w:rsid w:val="009E578D"/>
    <w:rsid w:val="009E5B6E"/>
    <w:rsid w:val="009F226C"/>
    <w:rsid w:val="009F2F16"/>
    <w:rsid w:val="009F4694"/>
    <w:rsid w:val="009F6FBA"/>
    <w:rsid w:val="00A07747"/>
    <w:rsid w:val="00A14E3B"/>
    <w:rsid w:val="00A1557C"/>
    <w:rsid w:val="00A157D5"/>
    <w:rsid w:val="00A1648B"/>
    <w:rsid w:val="00A166BA"/>
    <w:rsid w:val="00A1797B"/>
    <w:rsid w:val="00A17B82"/>
    <w:rsid w:val="00A30B16"/>
    <w:rsid w:val="00A34363"/>
    <w:rsid w:val="00A36A44"/>
    <w:rsid w:val="00A50CC0"/>
    <w:rsid w:val="00A63171"/>
    <w:rsid w:val="00A63175"/>
    <w:rsid w:val="00A6495F"/>
    <w:rsid w:val="00A70F9A"/>
    <w:rsid w:val="00A7426C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E294C"/>
    <w:rsid w:val="00AF560A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403B0"/>
    <w:rsid w:val="00B4491D"/>
    <w:rsid w:val="00B476CD"/>
    <w:rsid w:val="00B64E3E"/>
    <w:rsid w:val="00B65C58"/>
    <w:rsid w:val="00B662E1"/>
    <w:rsid w:val="00B67E65"/>
    <w:rsid w:val="00B76DA8"/>
    <w:rsid w:val="00B779FD"/>
    <w:rsid w:val="00B83FD9"/>
    <w:rsid w:val="00B90A4A"/>
    <w:rsid w:val="00BA1D50"/>
    <w:rsid w:val="00BA487E"/>
    <w:rsid w:val="00BB4CEC"/>
    <w:rsid w:val="00BC450C"/>
    <w:rsid w:val="00BC68A4"/>
    <w:rsid w:val="00BD34BC"/>
    <w:rsid w:val="00BD60F1"/>
    <w:rsid w:val="00BD7F2C"/>
    <w:rsid w:val="00BE000E"/>
    <w:rsid w:val="00BE77DF"/>
    <w:rsid w:val="00BF2196"/>
    <w:rsid w:val="00BF4416"/>
    <w:rsid w:val="00BF7359"/>
    <w:rsid w:val="00C0169B"/>
    <w:rsid w:val="00C03E83"/>
    <w:rsid w:val="00C273AB"/>
    <w:rsid w:val="00C34096"/>
    <w:rsid w:val="00C34F3B"/>
    <w:rsid w:val="00C4049C"/>
    <w:rsid w:val="00C52F3F"/>
    <w:rsid w:val="00C53799"/>
    <w:rsid w:val="00C72B8F"/>
    <w:rsid w:val="00C744FE"/>
    <w:rsid w:val="00C750B1"/>
    <w:rsid w:val="00C86DEC"/>
    <w:rsid w:val="00C9037F"/>
    <w:rsid w:val="00C94680"/>
    <w:rsid w:val="00C96C65"/>
    <w:rsid w:val="00CA00FE"/>
    <w:rsid w:val="00CA6F22"/>
    <w:rsid w:val="00CB58E5"/>
    <w:rsid w:val="00CC4B45"/>
    <w:rsid w:val="00CC4BAC"/>
    <w:rsid w:val="00CC682B"/>
    <w:rsid w:val="00CC7879"/>
    <w:rsid w:val="00CC7D03"/>
    <w:rsid w:val="00CD0930"/>
    <w:rsid w:val="00CD0A12"/>
    <w:rsid w:val="00CD1C13"/>
    <w:rsid w:val="00CE2C84"/>
    <w:rsid w:val="00CE5F05"/>
    <w:rsid w:val="00CE60E4"/>
    <w:rsid w:val="00CE69A8"/>
    <w:rsid w:val="00CF7C96"/>
    <w:rsid w:val="00D00D08"/>
    <w:rsid w:val="00D03F72"/>
    <w:rsid w:val="00D06CF4"/>
    <w:rsid w:val="00D20241"/>
    <w:rsid w:val="00D207AD"/>
    <w:rsid w:val="00D21541"/>
    <w:rsid w:val="00D219C7"/>
    <w:rsid w:val="00D2214E"/>
    <w:rsid w:val="00D26488"/>
    <w:rsid w:val="00D2684B"/>
    <w:rsid w:val="00D26E1D"/>
    <w:rsid w:val="00D32EE9"/>
    <w:rsid w:val="00D34BD7"/>
    <w:rsid w:val="00D41DBA"/>
    <w:rsid w:val="00D476F4"/>
    <w:rsid w:val="00D50E52"/>
    <w:rsid w:val="00D53EFB"/>
    <w:rsid w:val="00D56100"/>
    <w:rsid w:val="00D57A79"/>
    <w:rsid w:val="00D57FF3"/>
    <w:rsid w:val="00D61B89"/>
    <w:rsid w:val="00D66BBE"/>
    <w:rsid w:val="00D67039"/>
    <w:rsid w:val="00D67BBE"/>
    <w:rsid w:val="00D71AAC"/>
    <w:rsid w:val="00D820C3"/>
    <w:rsid w:val="00D86017"/>
    <w:rsid w:val="00D86F10"/>
    <w:rsid w:val="00D949F4"/>
    <w:rsid w:val="00DA0035"/>
    <w:rsid w:val="00DA24DB"/>
    <w:rsid w:val="00DA3841"/>
    <w:rsid w:val="00DA54F5"/>
    <w:rsid w:val="00DB0782"/>
    <w:rsid w:val="00DB250D"/>
    <w:rsid w:val="00DB2BC3"/>
    <w:rsid w:val="00DB5901"/>
    <w:rsid w:val="00DD0DD0"/>
    <w:rsid w:val="00DD5D26"/>
    <w:rsid w:val="00DE13F0"/>
    <w:rsid w:val="00DE1899"/>
    <w:rsid w:val="00DE3263"/>
    <w:rsid w:val="00DE5AB8"/>
    <w:rsid w:val="00DF6167"/>
    <w:rsid w:val="00E0062C"/>
    <w:rsid w:val="00E117C6"/>
    <w:rsid w:val="00E14187"/>
    <w:rsid w:val="00E22B4F"/>
    <w:rsid w:val="00E271DB"/>
    <w:rsid w:val="00E31D47"/>
    <w:rsid w:val="00E33053"/>
    <w:rsid w:val="00E443F1"/>
    <w:rsid w:val="00E44E76"/>
    <w:rsid w:val="00E45DDB"/>
    <w:rsid w:val="00E5124A"/>
    <w:rsid w:val="00E5260F"/>
    <w:rsid w:val="00E549AA"/>
    <w:rsid w:val="00E63258"/>
    <w:rsid w:val="00E64380"/>
    <w:rsid w:val="00E646B5"/>
    <w:rsid w:val="00E74D36"/>
    <w:rsid w:val="00E770B9"/>
    <w:rsid w:val="00E77BEB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318"/>
    <w:rsid w:val="00EA350C"/>
    <w:rsid w:val="00EA3F1C"/>
    <w:rsid w:val="00EB06B3"/>
    <w:rsid w:val="00EB10EC"/>
    <w:rsid w:val="00EB1CDC"/>
    <w:rsid w:val="00EB2727"/>
    <w:rsid w:val="00EB2E2C"/>
    <w:rsid w:val="00EB4D55"/>
    <w:rsid w:val="00EC103D"/>
    <w:rsid w:val="00EC41A6"/>
    <w:rsid w:val="00ED3A35"/>
    <w:rsid w:val="00ED653A"/>
    <w:rsid w:val="00ED6A13"/>
    <w:rsid w:val="00EE0485"/>
    <w:rsid w:val="00EF3E35"/>
    <w:rsid w:val="00F01273"/>
    <w:rsid w:val="00F03237"/>
    <w:rsid w:val="00F102DE"/>
    <w:rsid w:val="00F15D7B"/>
    <w:rsid w:val="00F17038"/>
    <w:rsid w:val="00F17D12"/>
    <w:rsid w:val="00F17DDB"/>
    <w:rsid w:val="00F21AB4"/>
    <w:rsid w:val="00F22781"/>
    <w:rsid w:val="00F36B09"/>
    <w:rsid w:val="00F41625"/>
    <w:rsid w:val="00F41E37"/>
    <w:rsid w:val="00F553B1"/>
    <w:rsid w:val="00F63F0B"/>
    <w:rsid w:val="00F7066C"/>
    <w:rsid w:val="00F71935"/>
    <w:rsid w:val="00F752B8"/>
    <w:rsid w:val="00F823B1"/>
    <w:rsid w:val="00F873FB"/>
    <w:rsid w:val="00F903A6"/>
    <w:rsid w:val="00F93D33"/>
    <w:rsid w:val="00F97CB7"/>
    <w:rsid w:val="00FA23BB"/>
    <w:rsid w:val="00FA4A4A"/>
    <w:rsid w:val="00FA57AF"/>
    <w:rsid w:val="00FB1D16"/>
    <w:rsid w:val="00FB211F"/>
    <w:rsid w:val="00FB4FC0"/>
    <w:rsid w:val="00FB74E8"/>
    <w:rsid w:val="00FC0561"/>
    <w:rsid w:val="00FC47B5"/>
    <w:rsid w:val="00FD45D9"/>
    <w:rsid w:val="00FD725F"/>
    <w:rsid w:val="00FE03CD"/>
    <w:rsid w:val="00FE6659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4098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cp:lastModifiedBy>540855</cp:lastModifiedBy>
  <cp:revision>77</cp:revision>
  <cp:lastPrinted>2016-11-16T04:31:00Z</cp:lastPrinted>
  <dcterms:created xsi:type="dcterms:W3CDTF">2013-09-07T07:15:00Z</dcterms:created>
  <dcterms:modified xsi:type="dcterms:W3CDTF">2018-12-01T08:10:00Z</dcterms:modified>
</cp:coreProperties>
</file>