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0E" w:rsidRPr="009076EA" w:rsidRDefault="00343EB8" w:rsidP="004D0A3C">
      <w:pPr>
        <w:bidi/>
        <w:jc w:val="center"/>
        <w:rPr>
          <w:rFonts w:cs="Titr"/>
          <w:u w:val="single"/>
          <w:rtl/>
          <w:lang w:bidi="fa-IR"/>
        </w:rPr>
      </w:pPr>
      <w:r>
        <w:rPr>
          <w:rFonts w:cs="Titr"/>
          <w:noProof/>
          <w:u w:val="single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36pt;width:45pt;height:43.2pt;z-index:251657728" fillcolor="window">
            <v:imagedata r:id="rId5" o:title=""/>
            <w10:wrap type="topAndBottom" anchorx="page"/>
          </v:shape>
          <o:OLEObject Type="Embed" ProgID="Word.Picture.8" ShapeID="_x0000_s1026" DrawAspect="Content" ObjectID="_1598277262" r:id="rId6"/>
        </w:pict>
      </w:r>
      <w:r w:rsidR="00A6495F" w:rsidRPr="009076EA">
        <w:rPr>
          <w:rFonts w:cs="Titr" w:hint="cs"/>
          <w:u w:val="single"/>
          <w:rtl/>
          <w:lang w:bidi="fa-IR"/>
        </w:rPr>
        <w:t xml:space="preserve">آگهي </w:t>
      </w:r>
      <w:r w:rsidR="0082451B">
        <w:rPr>
          <w:rFonts w:cs="Titr" w:hint="cs"/>
          <w:u w:val="single"/>
          <w:rtl/>
          <w:lang w:bidi="fa-IR"/>
        </w:rPr>
        <w:t xml:space="preserve">فراخوان </w:t>
      </w:r>
      <w:r w:rsidR="009076EA" w:rsidRPr="009076EA">
        <w:rPr>
          <w:rFonts w:cs="Titr" w:hint="cs"/>
          <w:u w:val="single"/>
          <w:rtl/>
          <w:lang w:bidi="fa-IR"/>
        </w:rPr>
        <w:t xml:space="preserve">مناقصه </w:t>
      </w:r>
      <w:r w:rsidR="00597A5E">
        <w:rPr>
          <w:rFonts w:cs="Titr" w:hint="cs"/>
          <w:u w:val="single"/>
          <w:rtl/>
          <w:lang w:bidi="fa-IR"/>
        </w:rPr>
        <w:t xml:space="preserve">عمومي </w:t>
      </w:r>
      <w:r w:rsidR="0070693B">
        <w:rPr>
          <w:rFonts w:cs="Titr" w:hint="cs"/>
          <w:u w:val="single"/>
          <w:rtl/>
          <w:lang w:bidi="fa-IR"/>
        </w:rPr>
        <w:t xml:space="preserve">شماره </w:t>
      </w:r>
      <w:r w:rsidR="004D0A3C">
        <w:rPr>
          <w:rFonts w:cs="Titr" w:hint="cs"/>
          <w:u w:val="single"/>
          <w:rtl/>
          <w:lang w:bidi="fa-IR"/>
        </w:rPr>
        <w:t>812</w:t>
      </w:r>
      <w:r w:rsidR="00635032">
        <w:rPr>
          <w:rFonts w:cs="Titr" w:hint="cs"/>
          <w:u w:val="single"/>
          <w:rtl/>
          <w:lang w:bidi="fa-IR"/>
        </w:rPr>
        <w:t>/</w:t>
      </w:r>
      <w:r w:rsidR="008F31C5">
        <w:rPr>
          <w:rFonts w:cs="Titr" w:hint="cs"/>
          <w:u w:val="single"/>
          <w:rtl/>
          <w:lang w:bidi="fa-IR"/>
        </w:rPr>
        <w:t>97</w:t>
      </w:r>
    </w:p>
    <w:p w:rsidR="00332604" w:rsidRDefault="000E2840" w:rsidP="009E04F2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شركت مجتمع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گاز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>
        <w:rPr>
          <w:rFonts w:cs="Mitra"/>
          <w:b/>
          <w:bCs/>
          <w:color w:val="000000"/>
          <w:sz w:val="20"/>
          <w:szCs w:val="20"/>
          <w:rtl/>
          <w:lang w:bidi="fa-IR"/>
        </w:rPr>
        <w:t>پارس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جنوبي (</w:t>
      </w:r>
      <w:r w:rsidR="00332604" w:rsidRPr="000C605C">
        <w:rPr>
          <w:rFonts w:cs="Mitra"/>
          <w:b/>
          <w:bCs/>
          <w:color w:val="000000"/>
          <w:sz w:val="20"/>
          <w:szCs w:val="20"/>
          <w:lang w:bidi="fa-IR"/>
        </w:rPr>
        <w:t>SPGC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) در نظر دارد مناقصه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موضوع ذيل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الذكر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را پس از طي فر</w:t>
      </w:r>
      <w:r w:rsidR="007F5F1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يند ارزيابي كيفي و تاييد صلاحيت متقاضيان به پيمانكار واجد شرايط واگذار نمايد.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لذا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از كليه شركت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هاي متقاضي دعوت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>عمل مي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آيد در صورت </w:t>
      </w:r>
      <w:r w:rsidR="00332604" w:rsidRPr="000C605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ت</w:t>
      </w:r>
      <w:r w:rsidR="00332604" w:rsidRPr="000C605C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مايل به شركت در مناقصه 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در نظر گرفتن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مفاد ابلاغ مصوبه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هيئت مديره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اين مجتمع ب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شماره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 گ24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001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486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مورخ 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28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06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>/13</w:t>
      </w:r>
      <w:r w:rsidR="007501E6"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96</w:t>
      </w:r>
      <w:r w:rsidR="007501E6" w:rsidRPr="007501E6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و توضيحات 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شرح ذيل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332604"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نسبت به اعلام </w:t>
      </w:r>
      <w:r w:rsidR="0033260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آ</w:t>
      </w:r>
      <w:r w:rsidR="00332604" w:rsidRPr="006C1E5B">
        <w:rPr>
          <w:rFonts w:cs="Mitra"/>
          <w:b/>
          <w:bCs/>
          <w:color w:val="000000"/>
          <w:sz w:val="20"/>
          <w:szCs w:val="20"/>
          <w:rtl/>
          <w:lang w:bidi="fa-IR"/>
        </w:rPr>
        <w:t>مادگي و شركت در مناقصه اقدام نمايند.</w:t>
      </w:r>
    </w:p>
    <w:p w:rsidR="00332604" w:rsidRPr="006C1E5B" w:rsidRDefault="0033260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قابل</w:t>
      </w:r>
      <w:r w:rsidRPr="007501E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ذكر است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گراني كه در چ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ند مناقصه مجتمع اعلام آمادگي مي‌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چنانچه با برنده شدن در يكي از مناقصات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مشم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ول محدوديت‌هاي مندرج در</w:t>
      </w:r>
      <w:r w:rsidR="000830F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مصوبه فوق‌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الذكرگردند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ولو اينكه تاييد صلاحيت شده و پاكات پيشنهادي قيمت خود را در چند مناقصه تسليم</w:t>
      </w:r>
      <w:r w:rsidR="000E284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نموده و پاكات پيشنهاد قيمت باز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گشائي شده باشد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گزار مجاز خواهد بود نسبت به ابطال و يا عودت پيشنهاد قيمت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در ساير مناقصات اقدام و يا هرگونه تصميم ديگري اتخاذ بنمايد و مناقصه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گران از اين بابت حق هر گونه اعتراضي را از خود سلب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6C1E5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نمايند.</w:t>
      </w:r>
    </w:p>
    <w:p w:rsidR="005B6025" w:rsidRPr="00640EE6" w:rsidRDefault="005B6025" w:rsidP="005B602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tbl>
      <w:tblPr>
        <w:bidiVisual/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322"/>
        <w:gridCol w:w="7758"/>
      </w:tblGrid>
      <w:tr w:rsidR="00746DEA" w:rsidRPr="0017692B" w:rsidTr="009B463A">
        <w:tc>
          <w:tcPr>
            <w:tcW w:w="2322" w:type="dxa"/>
            <w:shd w:val="clear" w:color="auto" w:fill="FABF8F"/>
            <w:vAlign w:val="center"/>
          </w:tcPr>
          <w:p w:rsidR="00746DEA" w:rsidRPr="0017692B" w:rsidRDefault="00746D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موضوع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746DEA" w:rsidRPr="0097208D" w:rsidRDefault="004D0A3C" w:rsidP="0097208D">
            <w:pPr>
              <w:bidi/>
              <w:ind w:right="-108"/>
              <w:jc w:val="center"/>
              <w:rPr>
                <w:rFonts w:cs="Titr"/>
                <w:sz w:val="20"/>
                <w:szCs w:val="20"/>
                <w:lang w:bidi="fa-IR"/>
              </w:rPr>
            </w:pPr>
            <w:r w:rsidRPr="0097208D">
              <w:rPr>
                <w:rFonts w:cs="Titr" w:hint="cs"/>
                <w:sz w:val="20"/>
                <w:szCs w:val="20"/>
                <w:rtl/>
                <w:lang w:bidi="fa-IR"/>
              </w:rPr>
              <w:t xml:space="preserve">تعمير و نگهداري تجهيزات و شبكه هاي </w:t>
            </w:r>
            <w:r w:rsidRPr="00AD195A">
              <w:rPr>
                <w:rFonts w:asciiTheme="minorBidi" w:hAnsiTheme="minorBidi" w:cstheme="minorBidi"/>
                <w:b/>
                <w:bCs/>
                <w:sz w:val="20"/>
                <w:szCs w:val="20"/>
                <w:lang w:bidi="fa-IR"/>
              </w:rPr>
              <w:t>ICT</w:t>
            </w:r>
            <w:r w:rsidRPr="0097208D">
              <w:rPr>
                <w:rFonts w:cs="Titr" w:hint="cs"/>
                <w:sz w:val="20"/>
                <w:szCs w:val="20"/>
                <w:rtl/>
                <w:lang w:bidi="fa-IR"/>
              </w:rPr>
              <w:t xml:space="preserve">  ستاد و كمپ‌هاي مسكوني شركت مجتمع گاز پارس جنوبي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9076EA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شماره مناقصه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B92241" w:rsidRDefault="00DD2F10" w:rsidP="008F31C5">
            <w:pPr>
              <w:bidi/>
              <w:jc w:val="center"/>
              <w:rPr>
                <w:rFonts w:ascii="Arial" w:hAnsi="Arial" w:cs="Titr"/>
                <w:rtl/>
                <w:lang w:bidi="fa-IR"/>
              </w:rPr>
            </w:pPr>
            <w:r>
              <w:rPr>
                <w:rFonts w:ascii="Arial" w:hAnsi="Arial" w:cs="Titr" w:hint="cs"/>
                <w:rtl/>
                <w:lang w:bidi="fa-IR"/>
              </w:rPr>
              <w:t>812</w:t>
            </w:r>
            <w:r w:rsidR="000B1B1B" w:rsidRPr="00B92241">
              <w:rPr>
                <w:rFonts w:ascii="Arial" w:hAnsi="Arial" w:cs="Titr" w:hint="cs"/>
                <w:rtl/>
                <w:lang w:bidi="fa-IR"/>
              </w:rPr>
              <w:t>/</w:t>
            </w:r>
            <w:r w:rsidR="008F31C5">
              <w:rPr>
                <w:rFonts w:ascii="Arial" w:hAnsi="Arial" w:cs="Titr" w:hint="cs"/>
                <w:rtl/>
                <w:lang w:bidi="fa-IR"/>
              </w:rPr>
              <w:t>97</w:t>
            </w:r>
          </w:p>
        </w:tc>
      </w:tr>
      <w:tr w:rsidR="0086089D" w:rsidRPr="0017692B" w:rsidTr="00306BB7">
        <w:tc>
          <w:tcPr>
            <w:tcW w:w="2322" w:type="dxa"/>
            <w:shd w:val="clear" w:color="auto" w:fill="FABF8F"/>
            <w:vAlign w:val="center"/>
          </w:tcPr>
          <w:p w:rsidR="0086089D" w:rsidRPr="0017692B" w:rsidRDefault="0086089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نوع مناقصه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86089D" w:rsidRPr="001E7180" w:rsidRDefault="00F823B1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يك مرحله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اي</w:t>
            </w:r>
          </w:p>
        </w:tc>
      </w:tr>
      <w:tr w:rsidR="009076EA" w:rsidRPr="0017692B" w:rsidTr="00306BB7">
        <w:tc>
          <w:tcPr>
            <w:tcW w:w="2322" w:type="dxa"/>
            <w:shd w:val="clear" w:color="auto" w:fill="FABF8F"/>
            <w:vAlign w:val="center"/>
          </w:tcPr>
          <w:p w:rsidR="009076EA" w:rsidRPr="0017692B" w:rsidRDefault="00A95E31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مدت انجام كار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9076EA" w:rsidRPr="001E7180" w:rsidRDefault="00DD2F10" w:rsidP="0017692B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دو</w:t>
            </w:r>
            <w:r w:rsidR="00140A7B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F823B1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سال شمسي</w:t>
            </w:r>
            <w:r w:rsidR="00DD0DD0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48339C" w:rsidRPr="0017692B" w:rsidTr="00306BB7">
        <w:tc>
          <w:tcPr>
            <w:tcW w:w="2322" w:type="dxa"/>
            <w:shd w:val="clear" w:color="auto" w:fill="FABF8F"/>
            <w:vAlign w:val="center"/>
          </w:tcPr>
          <w:p w:rsidR="0048339C" w:rsidRPr="0017692B" w:rsidRDefault="00F660D9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 برآ</w:t>
            </w:r>
            <w:r w:rsidR="0048339C"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ورد  تقريبي انجام كار(ريال 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48339C" w:rsidRPr="009C4B41" w:rsidRDefault="009C4B41" w:rsidP="009C4B41">
            <w:pPr>
              <w:bidi/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9C4B41">
              <w:rPr>
                <w:rFonts w:ascii="Arial" w:hAnsi="Arial" w:cs="Titr" w:hint="cs"/>
                <w:lang w:bidi="fa-IR"/>
              </w:rPr>
              <w:t>70,564,724,032</w:t>
            </w:r>
            <w:r w:rsidR="008F31C5" w:rsidRPr="009C4B41">
              <w:rPr>
                <w:rFonts w:ascii="Arial" w:hAnsi="Arial" w:cs="Titr" w:hint="cs"/>
                <w:rtl/>
                <w:lang w:bidi="fa-IR"/>
              </w:rPr>
              <w:t xml:space="preserve"> </w:t>
            </w:r>
            <w:r w:rsidR="00744870" w:rsidRPr="00744870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1260AD" w:rsidRPr="0017692B" w:rsidTr="00306BB7">
        <w:tc>
          <w:tcPr>
            <w:tcW w:w="2322" w:type="dxa"/>
            <w:shd w:val="clear" w:color="auto" w:fill="FABF8F"/>
            <w:vAlign w:val="center"/>
          </w:tcPr>
          <w:p w:rsidR="001260AD" w:rsidRPr="0017692B" w:rsidRDefault="001260AD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مبلغ سپرده شركت در </w:t>
            </w:r>
            <w:r w:rsidR="008A7C38" w:rsidRPr="008A7C38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فرآيند ارجاع كار</w:t>
            </w: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(ريال )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1260AD" w:rsidRPr="009C4B41" w:rsidRDefault="009C4B41" w:rsidP="009C4B41">
            <w:pPr>
              <w:bidi/>
              <w:jc w:val="center"/>
              <w:rPr>
                <w:rFonts w:ascii="Arial" w:hAnsi="Arial" w:cs="B Titr"/>
                <w:color w:val="000000"/>
                <w:sz w:val="22"/>
                <w:szCs w:val="22"/>
              </w:rPr>
            </w:pPr>
            <w:r w:rsidRPr="009C4B41">
              <w:rPr>
                <w:rFonts w:ascii="Arial" w:hAnsi="Arial" w:cs="Titr" w:hint="cs"/>
                <w:lang w:bidi="fa-IR"/>
              </w:rPr>
              <w:t>2,912,000,000</w:t>
            </w:r>
            <w:r w:rsidR="00DD2F10" w:rsidRPr="009C4B41">
              <w:rPr>
                <w:rFonts w:ascii="Arial" w:hAnsi="Arial" w:cs="Titr" w:hint="cs"/>
                <w:rtl/>
                <w:lang w:bidi="fa-IR"/>
              </w:rPr>
              <w:t xml:space="preserve"> </w:t>
            </w:r>
            <w:r w:rsidR="00DD2F10" w:rsidRPr="00744870">
              <w:rPr>
                <w:rFonts w:cs="Titr" w:hint="cs"/>
                <w:b/>
                <w:bCs/>
                <w:rtl/>
              </w:rPr>
              <w:t>ريال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ميزان پيش پرداخت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97208D" w:rsidP="00363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مشمول پيش پرداخت نمي‌</w:t>
            </w:r>
            <w:r w:rsidR="00363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گردد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محل اجرا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DC6818" w:rsidP="00B92241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استان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بوشهر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منطقه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ويژه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اقتصادي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انرژي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پارس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ـ 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شركت مجتمع گاز </w:t>
            </w:r>
            <w:r w:rsidR="00B92241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</w:t>
            </w:r>
            <w:r w:rsidR="00BD4CE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ارس جنوبي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مهلت تحويل مدارك (رزومه)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7B51A2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حداكثر تا ساعت </w:t>
            </w:r>
            <w:r w:rsid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بعدازظهر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روز</w:t>
            </w:r>
            <w:r w:rsidR="006F0E2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B51A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  <w:r w:rsidR="007501E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9B463A" w:rsidRP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مورخ</w:t>
            </w:r>
            <w:r w:rsidR="000F643B" w:rsidRPr="0036165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B51A2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18/07/97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حداكثر امتياز هر معيار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B92241" w:rsidRDefault="00C1778C" w:rsidP="00E03672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تجربه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(سابقه اجرايي)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40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حسن سابقه قبلي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20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مالي </w:t>
            </w:r>
            <w:r w:rsidR="00E03672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25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توان تجهيزاتي </w:t>
            </w:r>
            <w:r w:rsidR="0036165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امتياز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5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توان فني و برنامه ريزي </w:t>
            </w:r>
            <w:r w:rsidR="00744870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  <w:t>امتيا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ز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) </w:t>
            </w:r>
            <w:r w:rsid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/>
                <w:b/>
                <w:bCs/>
                <w:sz w:val="22"/>
                <w:szCs w:val="22"/>
                <w:lang w:bidi="fa-IR"/>
              </w:rPr>
              <w:t>HSE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227D06">
              <w:rPr>
                <w:rFonts w:ascii="Arial" w:hAnsi="Arial" w:cs="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5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635E8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  <w:p w:rsidR="00C1778C" w:rsidRPr="00B92241" w:rsidRDefault="00B635E8" w:rsidP="000830F3">
            <w:pPr>
              <w:bidi/>
              <w:jc w:val="both"/>
              <w:rPr>
                <w:rFonts w:ascii="Arial" w:hAnsi="Arial" w:cs="Zar"/>
                <w:b/>
                <w:bCs/>
                <w:sz w:val="22"/>
                <w:szCs w:val="22"/>
                <w:rtl/>
                <w:lang w:bidi="fa-IR"/>
              </w:rPr>
            </w:pPr>
            <w:r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( مطابق مواد 17-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18-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19-20-21 آيين</w:t>
            </w:r>
            <w:r w:rsidR="000830F3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="00C1778C" w:rsidRPr="00B92241">
              <w:rPr>
                <w:rFonts w:ascii="Arial" w:hAnsi="Arial" w:cs="Zar" w:hint="cs"/>
                <w:b/>
                <w:bCs/>
                <w:sz w:val="22"/>
                <w:szCs w:val="22"/>
                <w:rtl/>
                <w:lang w:bidi="fa-IR"/>
              </w:rPr>
              <w:t>نامه اجرايي بند ج ماده 12 قانون برگزاري مناقصات)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C30A10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حداقل امتياز قابل قبول جهت دعوت به </w:t>
            </w:r>
            <w:r w:rsidRPr="008A7C38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مناقصه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830F3">
              <w:rPr>
                <w:rFonts w:ascii="Arial" w:hAnsi="Arial" w:cs="Zar" w:hint="cs"/>
                <w:b/>
                <w:bCs/>
                <w:rtl/>
                <w:lang w:bidi="fa-IR"/>
              </w:rPr>
              <w:t>6</w:t>
            </w:r>
            <w:r w:rsidR="00C30A10" w:rsidRPr="000830F3">
              <w:rPr>
                <w:rFonts w:ascii="Arial" w:hAnsi="Arial" w:cs="Zar" w:hint="cs"/>
                <w:b/>
                <w:bCs/>
                <w:rtl/>
                <w:lang w:bidi="fa-IR"/>
              </w:rPr>
              <w:t>0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(شصت</w:t>
            </w:r>
            <w:r w:rsidR="000B1B1B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) مي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باشد.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(ارزيابي از روش وزني استفاده مي گردد)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آدرس پستي محل  تحويل رزومه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Default="00227D06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بندر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عسلويه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منطقه ويژه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اقتصادي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انرژي پارس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شركت مجتمع گاز پارس جنوبي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پالايشگاه دوم-</w:t>
            </w:r>
            <w:r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فاز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هاي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2و3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ساختمان 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مركزي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اداري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ستاد</w:t>
            </w: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 طبقه اول-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دفتر امور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پيمان</w:t>
            </w:r>
            <w:r w:rsidR="000830F3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C1778C"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C1778C" w:rsidRPr="001E7180" w:rsidRDefault="00C1778C" w:rsidP="00227D06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اطاق شماره</w:t>
            </w:r>
            <w:r w:rsidR="00227D06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101،2 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تلفن و فاكس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تلفن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2752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2751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 (داخلي )</w:t>
            </w:r>
            <w:r w:rsidR="007F5F14">
              <w:rPr>
                <w:rFonts w:cs="Mitra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7F5F14" w:rsidRP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0773131</w:t>
            </w:r>
          </w:p>
          <w:p w:rsidR="00C1778C" w:rsidRPr="001E7180" w:rsidRDefault="00C1778C" w:rsidP="004A18E7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فاكس</w:t>
            </w:r>
            <w:r w:rsidR="009B463A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2764</w:t>
            </w:r>
            <w:r w:rsidRPr="001E7180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A18E7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</w:t>
            </w:r>
          </w:p>
        </w:tc>
      </w:tr>
      <w:tr w:rsidR="00C1778C" w:rsidRPr="0017692B" w:rsidTr="00306BB7">
        <w:tc>
          <w:tcPr>
            <w:tcW w:w="2322" w:type="dxa"/>
            <w:shd w:val="clear" w:color="auto" w:fill="FABF8F"/>
            <w:vAlign w:val="center"/>
          </w:tcPr>
          <w:p w:rsidR="00C1778C" w:rsidRPr="0017692B" w:rsidRDefault="00C1778C" w:rsidP="0017692B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92B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758" w:type="dxa"/>
            <w:shd w:val="clear" w:color="auto" w:fill="DAEEF3"/>
            <w:vAlign w:val="center"/>
          </w:tcPr>
          <w:p w:rsidR="00C1778C" w:rsidRPr="001E7180" w:rsidRDefault="00BF0CAB" w:rsidP="004C531E">
            <w:pPr>
              <w:bidi/>
              <w:jc w:val="center"/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2762-</w:t>
            </w:r>
            <w:r w:rsidR="007F5F14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07731</w:t>
            </w:r>
            <w:r w:rsidR="004C531E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312761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="00C1778C">
              <w:rPr>
                <w:rFonts w:ascii="Arial" w:hAnsi="Arial" w:cs="Zar" w:hint="cs"/>
                <w:b/>
                <w:bCs/>
                <w:sz w:val="18"/>
                <w:szCs w:val="18"/>
                <w:rtl/>
                <w:lang w:bidi="fa-IR"/>
              </w:rPr>
              <w:t>حامدي فر/يزدانيان</w:t>
            </w:r>
            <w:r w:rsidR="00C1778C" w:rsidRPr="001E7180">
              <w:rPr>
                <w:rFonts w:ascii="Arial" w:hAnsi="Arial" w:cs="Zar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</w:tr>
    </w:tbl>
    <w:p w:rsidR="00C43110" w:rsidRDefault="00C43110" w:rsidP="00C43110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t>ساير توضيحات مهم</w:t>
      </w:r>
      <w:r w:rsidR="009B463A">
        <w:rPr>
          <w:rFonts w:cs="Titr" w:hint="cs"/>
          <w:rtl/>
          <w:lang w:bidi="fa-IR"/>
        </w:rPr>
        <w:t>:</w:t>
      </w:r>
    </w:p>
    <w:p w:rsidR="002B68D1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</w:t>
      </w:r>
      <w:r w:rsidR="003F6030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ارزيابي صلاحيت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مي</w:t>
      </w:r>
      <w:r w:rsidR="00B92241">
        <w:rPr>
          <w:rFonts w:cs="Mitra"/>
          <w:b/>
          <w:bCs/>
          <w:color w:val="000000"/>
          <w:sz w:val="20"/>
          <w:szCs w:val="20"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پس از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دريافت از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طريق سايت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مجتمع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تحت عنوان </w:t>
      </w:r>
      <w:hyperlink r:id="rId7" w:history="1">
        <w:r w:rsidRPr="00563357">
          <w:rPr>
            <w:rFonts w:cs="Mitra"/>
            <w:b/>
            <w:bCs/>
            <w:color w:val="000000"/>
            <w:sz w:val="20"/>
            <w:szCs w:val="20"/>
            <w:lang w:bidi="fa-IR"/>
          </w:rPr>
          <w:t>WWW.SPGC.IR</w:t>
        </w:r>
      </w:hyperlink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(بخش مناقصات )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</w:t>
      </w:r>
      <w:r w:rsidR="009C705D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دقت مطالعه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بررسي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تكميل و به همراه ساير مدارك (رزومه) تا قبل از اتمام مهلت مقرر تحويل گردد.</w:t>
      </w:r>
    </w:p>
    <w:p w:rsidR="002B68D1" w:rsidRPr="00563357" w:rsidRDefault="002B68D1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2-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كپي كليه مستندات مندرج در هر فرم جهت ارزيابي و امتياز دهي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بايست به همراه فرم </w:t>
      </w: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مربوطه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ارسال گردد.</w:t>
      </w: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3- ارسال  نامه درخواست 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شركت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در مناقصه با قيد شماره  و موضوع مناقصه ب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Pr="008A7C3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همراه ساير</w:t>
      </w:r>
      <w:r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مدارك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0769E" w:rsidRDefault="00222511" w:rsidP="00DA0594">
      <w:pPr>
        <w:bidi/>
        <w:jc w:val="both"/>
        <w:rPr>
          <w:rFonts w:cs="Titr"/>
          <w:b/>
          <w:bCs/>
          <w:sz w:val="17"/>
          <w:szCs w:val="17"/>
          <w:rtl/>
          <w:lang w:bidi="fa-IR"/>
        </w:rPr>
      </w:pPr>
      <w:r w:rsidRPr="00CF036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4-</w:t>
      </w:r>
      <w:r w:rsidRPr="00CF0367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ارائه گواهي </w:t>
      </w:r>
      <w:r w:rsidR="00DA0594" w:rsidRPr="00DA0594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تاييد صلاحيت معتبر و داراي اعتبار زماني از سازمان برنامه و بودجه كشور در يكي از رشته هاي شبكه داده هاي رايانه اي و مخابراتي يا خدمات پشتيباني با حداقل رتبه 2  الزاميست.</w:t>
      </w:r>
      <w:r w:rsidR="00DA0594" w:rsidRPr="007E6375">
        <w:rPr>
          <w:rFonts w:cs="Titr"/>
          <w:b/>
          <w:bCs/>
          <w:sz w:val="17"/>
          <w:szCs w:val="17"/>
          <w:rtl/>
          <w:lang w:bidi="fa-IR"/>
        </w:rPr>
        <w:t xml:space="preserve"> </w:t>
      </w:r>
    </w:p>
    <w:p w:rsidR="00DA0594" w:rsidRPr="00DA0594" w:rsidRDefault="00DA0594" w:rsidP="00DA059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5-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متقاضيان در صورتي مورد ارزيابي قرار خواهند گرفت كه توسط </w:t>
      </w:r>
      <w:r w:rsidRPr="00DA0594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سازمان حراست وزارت نفت يا حراست شركت مجتمع گاز پارس جنوبي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مورد تاييد قرار گيرند.</w:t>
      </w:r>
    </w:p>
    <w:p w:rsidR="002B68D1" w:rsidRPr="008C276C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lastRenderedPageBreak/>
        <w:t>6</w:t>
      </w:r>
      <w:r w:rsidR="0080769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2B68D1" w:rsidRPr="004E1328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رائه صورت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مالي حسابرسي شده (حسابرسي شده توسط سازمان حسابرسي يا اعضاي جامعه حسابداران رسمي)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در زمان انعقاد قرارداد الزامي است.</w:t>
      </w:r>
      <w:r w:rsidR="002B68D1" w:rsidRPr="008C276C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  </w:t>
      </w:r>
    </w:p>
    <w:p w:rsidR="002B68D1" w:rsidRDefault="00DA0594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7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ضمن دارا بودن شخصيت حقوقي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ارائه اساسنامه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تاسيس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آگهي آخرين تغييرات 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همچنين ارايه شناسه ملي و كد اقتصادي.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8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مدارك مي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بايست ب</w:t>
      </w:r>
      <w:r w:rsidR="007409C3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ه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صورت منظم و كلاسه شده ارسال گردد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9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به مدارك و اسنادي كه با تاخير و پس از مهلت مقرر واصل گردند و همچنين به درخواست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فاقد رزومه و مدارك تكميلي ترتيب اثري داده نخواهد شد.</w:t>
      </w:r>
    </w:p>
    <w:p w:rsidR="002B68D1" w:rsidRPr="00563357" w:rsidRDefault="00DA0594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10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كليه فرم‌ها و اسناد مي‌بايست توسط شخص يا اشخاص مجاز امضاء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زنده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مهر گرديده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(مهر امضاء فاقد اعتبار است)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و به انضمام گواهي صاحب/صاحبان امضاء مجاز ارسال گردد.(در صورت عدم ارائه گواهي مزبور، مناقصه‌گزار مختار به عدم تاييد اسناد ارزيابي كيفي به لحاظ شكلي خواهد بود.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11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چنانچه در حين فرايند ارزيابي ثابت گرديد كه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متقاضي از مدارك جعلي يا اطلاعات خلاف واقع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تهديد، رشوه و نظاير آن براي تاييد صلاحيت خود استفاده نموده اند مطابق قوانين و مقررات با متخلف رفتار خواهد شد.</w:t>
      </w:r>
    </w:p>
    <w:p w:rsidR="002B68D1" w:rsidRPr="00563357" w:rsidRDefault="00DA0594" w:rsidP="00B9224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12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پس از مرحله ارزيابي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تنها از شركت</w:t>
      </w:r>
      <w:r w:rsidR="00B9224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جهت ادامه فرايند مناقصه دعوت خواهد شد.</w:t>
      </w:r>
    </w:p>
    <w:p w:rsidR="002B68D1" w:rsidRPr="00563357" w:rsidRDefault="00DA0594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13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برنامه زماني تحويل و دريافت اسناد پيشنهاد قيمت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بازگشايي و</w:t>
      </w:r>
      <w:r w:rsidR="009D68DB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ساير اطلاعات مربوطه در اسناد مناقصه تحويلي به شركت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هاي تعيين صلاحيت شده (پس از فرايند تعيين صلاحيت) درج خواهد شد.</w:t>
      </w:r>
    </w:p>
    <w:p w:rsidR="002B68D1" w:rsidRDefault="00DA0594" w:rsidP="0080769E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14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563357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ارائه سوابق و مدارك نيز هيچ گونه حقي را براي متقاضيان ايجاد نخواهد كرد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2B68D1" w:rsidRDefault="00DA0594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15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 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در صورتيكه شركت برنده مناقصه داراي مجوز تاييد صلاحيت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>هاي ديگر باشد موظف است قبل از انعقاد قرارداد با كارفرما نسبت به اخذ معرفي نامه مبني برامكان انجام فعاليت  از اداره كل تعاون</w:t>
      </w:r>
      <w:r w:rsidR="009B463A">
        <w:rPr>
          <w:rFonts w:cs="Mitra"/>
          <w:b/>
          <w:bCs/>
          <w:color w:val="000000"/>
          <w:sz w:val="20"/>
          <w:szCs w:val="20"/>
          <w:rtl/>
          <w:lang w:bidi="fa-IR"/>
        </w:rPr>
        <w:t>،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كار و رفاه اجتماعي استان بوشهر و ارائه آن به كارفرما اقدام نمايد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  <w:r w:rsidR="002B68D1" w:rsidRPr="0013163F">
        <w:rPr>
          <w:rFonts w:cs="Mitra"/>
          <w:b/>
          <w:bCs/>
          <w:color w:val="000000"/>
          <w:sz w:val="20"/>
          <w:szCs w:val="20"/>
          <w:rtl/>
          <w:lang w:bidi="fa-IR"/>
        </w:rPr>
        <w:t xml:space="preserve"> </w:t>
      </w:r>
    </w:p>
    <w:p w:rsidR="002B68D1" w:rsidRDefault="00DA0594" w:rsidP="00CA71D6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16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 نوع</w:t>
      </w:r>
      <w:r w:rsidR="009B463A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كميت و كيفيت خدمات بر اساس گزارش شناخت اسناد مناقصه مي</w:t>
      </w:r>
      <w:r w:rsidR="00CA71D6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‌</w:t>
      </w:r>
      <w:r w:rsidR="002B68D1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باشد.</w:t>
      </w:r>
    </w:p>
    <w:p w:rsidR="008F31C5" w:rsidRDefault="00DA0594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17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-كليه شركت‌هاي تأييد صلاحيت شده در مناقصه فوق مي‌بايست نسبت به اخذ </w:t>
      </w:r>
      <w:r w:rsidR="008F31C5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تأييديه مديريت كار و خدمات اشتغال منطقه ويژه اقتصادي انرژي پارس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8F31C5" w:rsidRPr="00EE5D9C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واقع در عسلويه مختص اين مناقصه اقدام و مجوز مربوطه را تا قبل از تحويل پاكت پيشنهاد قيمت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، به دفتر امور پيمان‌هاي ستاد تحويل و ارائه نمايند. لازم به ذكر است در صورت عدم ارائه تأييديه مذكور، پاكت مالي آن‌ها گشايش نخواهد يافت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.</w:t>
      </w:r>
    </w:p>
    <w:p w:rsidR="008F31C5" w:rsidRDefault="00DA0594" w:rsidP="008F31C5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18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-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كليه شركت‌هاي تأييد صلاحيت شده در مناقصه فوق مي‌بايست نسبت به 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ارائه </w:t>
      </w:r>
      <w:r w:rsidR="008F31C5" w:rsidRPr="0030588E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 xml:space="preserve">گواهينامه تاييد صلاحيت ايمني معتبر و داراي اعتبار زماني از اداره كل تعاون، كار و رفاه </w:t>
      </w:r>
      <w:r w:rsidR="008F31C5" w:rsidRPr="00224612">
        <w:rPr>
          <w:rFonts w:cs="Mitra" w:hint="cs"/>
          <w:b/>
          <w:bCs/>
          <w:color w:val="000000"/>
          <w:sz w:val="20"/>
          <w:szCs w:val="20"/>
          <w:u w:val="single"/>
          <w:rtl/>
          <w:lang w:bidi="fa-IR"/>
        </w:rPr>
        <w:t>اجتماعي، تا تاريخ سررسيد ارائه پيشنهاد قيمت اقدام نمايند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. لازم به ذكر است در صورت عدم ارائه </w:t>
      </w:r>
      <w:r w:rsidR="008F31C5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گواهينامه</w:t>
      </w:r>
      <w:r w:rsidR="008F31C5" w:rsidRPr="00D441BE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 مذكور، پاكت مالي آن‌ها گشايش نخواهد يافت.</w:t>
      </w:r>
    </w:p>
    <w:p w:rsidR="00DA0594" w:rsidRPr="00DA0594" w:rsidRDefault="00DA0594" w:rsidP="00DA059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 xml:space="preserve">19- 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شركت پيمانكاران صاحب صلاحيت در مناقصه و ارزيابي كيفي به شرط داشتن ظرفيت آزاد (تعدادي و ريالي) در رشته مربوط و نيز معتبر بودن اسم شركت در پايگاه (</w:t>
      </w:r>
      <w:r w:rsidRPr="00DA0594">
        <w:rPr>
          <w:rFonts w:cs="Mitra"/>
          <w:b/>
          <w:bCs/>
          <w:color w:val="000000"/>
          <w:sz w:val="20"/>
          <w:szCs w:val="20"/>
          <w:lang w:bidi="fa-IR"/>
        </w:rPr>
        <w:t>http://sajar.mporg.ir</w:t>
      </w:r>
      <w:r w:rsidRPr="00DA0594">
        <w:rPr>
          <w:rFonts w:cs="Mitra" w:hint="cs"/>
          <w:b/>
          <w:bCs/>
          <w:color w:val="000000"/>
          <w:sz w:val="20"/>
          <w:szCs w:val="20"/>
          <w:rtl/>
          <w:lang w:bidi="fa-IR"/>
        </w:rPr>
        <w:t>) مجاز مي باشد.</w:t>
      </w:r>
    </w:p>
    <w:p w:rsidR="00DA0594" w:rsidRDefault="00DA0594" w:rsidP="00DA0594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90A88" w:rsidRDefault="00890A88" w:rsidP="00890A88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Mitra"/>
          <w:color w:val="000000"/>
          <w:sz w:val="22"/>
          <w:szCs w:val="22"/>
          <w:rtl/>
          <w:lang w:bidi="fa-IR"/>
        </w:rPr>
      </w:pPr>
    </w:p>
    <w:p w:rsidR="002B68D1" w:rsidRDefault="002B68D1" w:rsidP="002B68D1">
      <w:pPr>
        <w:bidi/>
        <w:jc w:val="both"/>
        <w:rPr>
          <w:rFonts w:cs="Sina"/>
          <w:sz w:val="20"/>
          <w:szCs w:val="20"/>
          <w:rtl/>
          <w:lang w:bidi="fa-IR"/>
        </w:rPr>
      </w:pP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                                                                                    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   </w:t>
      </w:r>
      <w:r>
        <w:rPr>
          <w:rFonts w:cs="Mitra" w:hint="cs"/>
          <w:color w:val="000000"/>
          <w:sz w:val="22"/>
          <w:szCs w:val="22"/>
          <w:rtl/>
          <w:lang w:bidi="fa-IR"/>
        </w:rPr>
        <w:t xml:space="preserve">         </w:t>
      </w:r>
      <w:r w:rsidRPr="00EA1318">
        <w:rPr>
          <w:rFonts w:cs="Mitra" w:hint="cs"/>
          <w:color w:val="000000"/>
          <w:sz w:val="22"/>
          <w:szCs w:val="22"/>
          <w:rtl/>
          <w:lang w:bidi="fa-IR"/>
        </w:rPr>
        <w:t xml:space="preserve">       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امور</w:t>
      </w:r>
      <w:r>
        <w:rPr>
          <w:rFonts w:cs="Sina" w:hint="cs"/>
          <w:color w:val="000000"/>
          <w:sz w:val="20"/>
          <w:szCs w:val="20"/>
          <w:u w:val="single"/>
          <w:rtl/>
          <w:lang w:bidi="fa-IR"/>
        </w:rPr>
        <w:t xml:space="preserve">پيمانهاي </w:t>
      </w:r>
      <w:r w:rsidRPr="00781794">
        <w:rPr>
          <w:rFonts w:cs="Sina" w:hint="cs"/>
          <w:color w:val="000000"/>
          <w:sz w:val="20"/>
          <w:szCs w:val="20"/>
          <w:u w:val="single"/>
          <w:rtl/>
          <w:lang w:bidi="fa-IR"/>
        </w:rPr>
        <w:t>شركت مجتمع گاز پارس جنوبي</w:t>
      </w: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2B68D1" w:rsidP="002B68D1">
      <w:pPr>
        <w:bidi/>
        <w:jc w:val="center"/>
        <w:rPr>
          <w:rFonts w:cs="Mitra"/>
          <w:b/>
          <w:bCs/>
          <w:color w:val="000000"/>
          <w:rtl/>
          <w:lang w:bidi="fa-IR"/>
        </w:rPr>
      </w:pPr>
    </w:p>
    <w:p w:rsidR="002B68D1" w:rsidRDefault="007501E6" w:rsidP="007501E6">
      <w:pPr>
        <w:bidi/>
        <w:jc w:val="center"/>
        <w:rPr>
          <w:rFonts w:cs="Mitra"/>
          <w:b/>
          <w:bCs/>
          <w:color w:val="000000"/>
          <w:sz w:val="20"/>
          <w:szCs w:val="20"/>
          <w:rtl/>
          <w:lang w:bidi="fa-IR"/>
        </w:rPr>
      </w:pPr>
      <w:r w:rsidRPr="007501E6">
        <w:rPr>
          <w:rFonts w:cs="Mitra"/>
          <w:b/>
          <w:bCs/>
          <w:noProof/>
          <w:color w:val="000000"/>
          <w:sz w:val="20"/>
          <w:szCs w:val="20"/>
          <w:rtl/>
          <w:lang w:bidi="fa-IR"/>
        </w:rPr>
        <w:lastRenderedPageBreak/>
        <w:drawing>
          <wp:inline distT="0" distB="0" distL="0" distR="0">
            <wp:extent cx="5958825" cy="8378456"/>
            <wp:effectExtent l="19050" t="0" r="3825" b="0"/>
            <wp:docPr id="1" name="Picture 1" descr="C:\Users\592690\Desktop\مصوبه هيات مديره 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92690\Desktop\مصوبه هيات مديره 9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05" t="2651" r="5937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25" cy="837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8D1" w:rsidSect="00C1778C">
      <w:pgSz w:w="12240" w:h="15840"/>
      <w:pgMar w:top="1530" w:right="900" w:bottom="1080" w:left="9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D03"/>
    <w:multiLevelType w:val="hybridMultilevel"/>
    <w:tmpl w:val="E93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A36B5"/>
    <w:multiLevelType w:val="hybridMultilevel"/>
    <w:tmpl w:val="B77A5B36"/>
    <w:lvl w:ilvl="0" w:tplc="7C60F844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6495F"/>
    <w:rsid w:val="00003823"/>
    <w:rsid w:val="00007E56"/>
    <w:rsid w:val="000225B9"/>
    <w:rsid w:val="000337E4"/>
    <w:rsid w:val="00035FEA"/>
    <w:rsid w:val="00042B8D"/>
    <w:rsid w:val="00044281"/>
    <w:rsid w:val="000513F7"/>
    <w:rsid w:val="0005518F"/>
    <w:rsid w:val="00056BCC"/>
    <w:rsid w:val="00061008"/>
    <w:rsid w:val="00062A9D"/>
    <w:rsid w:val="0007648E"/>
    <w:rsid w:val="00081FC6"/>
    <w:rsid w:val="00082275"/>
    <w:rsid w:val="000830F3"/>
    <w:rsid w:val="000838E2"/>
    <w:rsid w:val="0009106A"/>
    <w:rsid w:val="000A1170"/>
    <w:rsid w:val="000A319A"/>
    <w:rsid w:val="000A3ACC"/>
    <w:rsid w:val="000B0CBD"/>
    <w:rsid w:val="000B1B1B"/>
    <w:rsid w:val="000B2DD7"/>
    <w:rsid w:val="000B5B87"/>
    <w:rsid w:val="000C09CE"/>
    <w:rsid w:val="000C2C45"/>
    <w:rsid w:val="000C5D89"/>
    <w:rsid w:val="000D0066"/>
    <w:rsid w:val="000D6E55"/>
    <w:rsid w:val="000E2840"/>
    <w:rsid w:val="000E7138"/>
    <w:rsid w:val="000F643B"/>
    <w:rsid w:val="000F669B"/>
    <w:rsid w:val="00106425"/>
    <w:rsid w:val="001243EE"/>
    <w:rsid w:val="00124641"/>
    <w:rsid w:val="00125B1A"/>
    <w:rsid w:val="001260AD"/>
    <w:rsid w:val="00126897"/>
    <w:rsid w:val="00127DA4"/>
    <w:rsid w:val="001314D1"/>
    <w:rsid w:val="00136CE9"/>
    <w:rsid w:val="00140A7B"/>
    <w:rsid w:val="00155A27"/>
    <w:rsid w:val="00163AD1"/>
    <w:rsid w:val="00164704"/>
    <w:rsid w:val="00166063"/>
    <w:rsid w:val="0017692B"/>
    <w:rsid w:val="00177031"/>
    <w:rsid w:val="00185D2C"/>
    <w:rsid w:val="00191B15"/>
    <w:rsid w:val="0019282F"/>
    <w:rsid w:val="001945AE"/>
    <w:rsid w:val="0019476E"/>
    <w:rsid w:val="00197A4C"/>
    <w:rsid w:val="001A00B7"/>
    <w:rsid w:val="001A3A00"/>
    <w:rsid w:val="001A461F"/>
    <w:rsid w:val="001A5F3A"/>
    <w:rsid w:val="001B6BEB"/>
    <w:rsid w:val="001B75B1"/>
    <w:rsid w:val="001C04AB"/>
    <w:rsid w:val="001C19DA"/>
    <w:rsid w:val="001C7E5B"/>
    <w:rsid w:val="001D4926"/>
    <w:rsid w:val="001D66D7"/>
    <w:rsid w:val="001E1F14"/>
    <w:rsid w:val="001E7180"/>
    <w:rsid w:val="001E7922"/>
    <w:rsid w:val="001F0D39"/>
    <w:rsid w:val="001F1B50"/>
    <w:rsid w:val="001F2797"/>
    <w:rsid w:val="001F66A3"/>
    <w:rsid w:val="001F6FE1"/>
    <w:rsid w:val="002057F7"/>
    <w:rsid w:val="00222511"/>
    <w:rsid w:val="0022526D"/>
    <w:rsid w:val="00225A82"/>
    <w:rsid w:val="00225EFA"/>
    <w:rsid w:val="00227D06"/>
    <w:rsid w:val="0024148B"/>
    <w:rsid w:val="00246CB9"/>
    <w:rsid w:val="00247492"/>
    <w:rsid w:val="002616CF"/>
    <w:rsid w:val="00261FB2"/>
    <w:rsid w:val="0026511B"/>
    <w:rsid w:val="002652AD"/>
    <w:rsid w:val="00275AC6"/>
    <w:rsid w:val="00277236"/>
    <w:rsid w:val="00281E77"/>
    <w:rsid w:val="00284034"/>
    <w:rsid w:val="00285A51"/>
    <w:rsid w:val="00290B97"/>
    <w:rsid w:val="00291A26"/>
    <w:rsid w:val="00293B96"/>
    <w:rsid w:val="00295B58"/>
    <w:rsid w:val="002A0772"/>
    <w:rsid w:val="002A3294"/>
    <w:rsid w:val="002A7E45"/>
    <w:rsid w:val="002B5827"/>
    <w:rsid w:val="002B5FF3"/>
    <w:rsid w:val="002B68D1"/>
    <w:rsid w:val="002C5211"/>
    <w:rsid w:val="002C7F28"/>
    <w:rsid w:val="002E00B2"/>
    <w:rsid w:val="002E0431"/>
    <w:rsid w:val="002E1A2F"/>
    <w:rsid w:val="002E6E11"/>
    <w:rsid w:val="002F1193"/>
    <w:rsid w:val="002F2496"/>
    <w:rsid w:val="00304B0C"/>
    <w:rsid w:val="00306267"/>
    <w:rsid w:val="00306554"/>
    <w:rsid w:val="00306BB7"/>
    <w:rsid w:val="00310079"/>
    <w:rsid w:val="003167FD"/>
    <w:rsid w:val="00323528"/>
    <w:rsid w:val="00327432"/>
    <w:rsid w:val="00327A70"/>
    <w:rsid w:val="00331422"/>
    <w:rsid w:val="003323B2"/>
    <w:rsid w:val="00332604"/>
    <w:rsid w:val="0033326A"/>
    <w:rsid w:val="00343EB8"/>
    <w:rsid w:val="003558F9"/>
    <w:rsid w:val="00361650"/>
    <w:rsid w:val="003638E7"/>
    <w:rsid w:val="0037061D"/>
    <w:rsid w:val="00371F0E"/>
    <w:rsid w:val="0038207C"/>
    <w:rsid w:val="00382CAB"/>
    <w:rsid w:val="00387793"/>
    <w:rsid w:val="00392653"/>
    <w:rsid w:val="00393EFF"/>
    <w:rsid w:val="00396E3C"/>
    <w:rsid w:val="003A377D"/>
    <w:rsid w:val="003A4108"/>
    <w:rsid w:val="003A606D"/>
    <w:rsid w:val="003B50B7"/>
    <w:rsid w:val="003B592C"/>
    <w:rsid w:val="003B5BB5"/>
    <w:rsid w:val="003C136F"/>
    <w:rsid w:val="003C2579"/>
    <w:rsid w:val="003D20F8"/>
    <w:rsid w:val="003D400E"/>
    <w:rsid w:val="003D740A"/>
    <w:rsid w:val="003E072D"/>
    <w:rsid w:val="003E3E38"/>
    <w:rsid w:val="003F5B2A"/>
    <w:rsid w:val="003F6030"/>
    <w:rsid w:val="00401993"/>
    <w:rsid w:val="00402DBD"/>
    <w:rsid w:val="00405E1C"/>
    <w:rsid w:val="004103A7"/>
    <w:rsid w:val="004262CE"/>
    <w:rsid w:val="00426B74"/>
    <w:rsid w:val="00432CE9"/>
    <w:rsid w:val="0043556D"/>
    <w:rsid w:val="00441E2D"/>
    <w:rsid w:val="004467C8"/>
    <w:rsid w:val="0045262D"/>
    <w:rsid w:val="004641B3"/>
    <w:rsid w:val="00466881"/>
    <w:rsid w:val="004679DD"/>
    <w:rsid w:val="00477BB7"/>
    <w:rsid w:val="0048301C"/>
    <w:rsid w:val="0048333A"/>
    <w:rsid w:val="0048339C"/>
    <w:rsid w:val="00483423"/>
    <w:rsid w:val="00486564"/>
    <w:rsid w:val="00490304"/>
    <w:rsid w:val="004A18E7"/>
    <w:rsid w:val="004A2CD1"/>
    <w:rsid w:val="004A5258"/>
    <w:rsid w:val="004A726F"/>
    <w:rsid w:val="004A7CD5"/>
    <w:rsid w:val="004B7F64"/>
    <w:rsid w:val="004C3375"/>
    <w:rsid w:val="004C531E"/>
    <w:rsid w:val="004C77C0"/>
    <w:rsid w:val="004D0A3C"/>
    <w:rsid w:val="004D1D8B"/>
    <w:rsid w:val="004E407B"/>
    <w:rsid w:val="004F310A"/>
    <w:rsid w:val="004F7CC7"/>
    <w:rsid w:val="00503EFB"/>
    <w:rsid w:val="005054BA"/>
    <w:rsid w:val="00505A22"/>
    <w:rsid w:val="00520F41"/>
    <w:rsid w:val="00526D25"/>
    <w:rsid w:val="0053040A"/>
    <w:rsid w:val="005335F7"/>
    <w:rsid w:val="00533825"/>
    <w:rsid w:val="00535C8D"/>
    <w:rsid w:val="00535E1E"/>
    <w:rsid w:val="00536BAA"/>
    <w:rsid w:val="00536E64"/>
    <w:rsid w:val="0054065F"/>
    <w:rsid w:val="00543324"/>
    <w:rsid w:val="00543C7E"/>
    <w:rsid w:val="00553917"/>
    <w:rsid w:val="00555157"/>
    <w:rsid w:val="00556B12"/>
    <w:rsid w:val="00556BC9"/>
    <w:rsid w:val="00563357"/>
    <w:rsid w:val="00566C37"/>
    <w:rsid w:val="00572554"/>
    <w:rsid w:val="00575C12"/>
    <w:rsid w:val="00583606"/>
    <w:rsid w:val="00597102"/>
    <w:rsid w:val="00597A5E"/>
    <w:rsid w:val="005A3D08"/>
    <w:rsid w:val="005A5CB6"/>
    <w:rsid w:val="005B2C1A"/>
    <w:rsid w:val="005B3C6E"/>
    <w:rsid w:val="005B4351"/>
    <w:rsid w:val="005B6025"/>
    <w:rsid w:val="005B635C"/>
    <w:rsid w:val="005C0E79"/>
    <w:rsid w:val="005C1A58"/>
    <w:rsid w:val="005C2D0B"/>
    <w:rsid w:val="005C34AA"/>
    <w:rsid w:val="005C3A4C"/>
    <w:rsid w:val="005E47D7"/>
    <w:rsid w:val="005E660F"/>
    <w:rsid w:val="005E77C5"/>
    <w:rsid w:val="005F7082"/>
    <w:rsid w:val="00620BB0"/>
    <w:rsid w:val="0063073F"/>
    <w:rsid w:val="006321FE"/>
    <w:rsid w:val="00633CD1"/>
    <w:rsid w:val="006347D3"/>
    <w:rsid w:val="00635032"/>
    <w:rsid w:val="006374EB"/>
    <w:rsid w:val="00640EE6"/>
    <w:rsid w:val="00643EC1"/>
    <w:rsid w:val="00651CAF"/>
    <w:rsid w:val="00656853"/>
    <w:rsid w:val="00657087"/>
    <w:rsid w:val="006611F7"/>
    <w:rsid w:val="00671FE0"/>
    <w:rsid w:val="006733AA"/>
    <w:rsid w:val="00673E2F"/>
    <w:rsid w:val="006744D7"/>
    <w:rsid w:val="00676F50"/>
    <w:rsid w:val="00684C8B"/>
    <w:rsid w:val="00685B4B"/>
    <w:rsid w:val="00693081"/>
    <w:rsid w:val="006934E3"/>
    <w:rsid w:val="006A2CBF"/>
    <w:rsid w:val="006A4F90"/>
    <w:rsid w:val="006B22BE"/>
    <w:rsid w:val="006B60BD"/>
    <w:rsid w:val="006C0BB8"/>
    <w:rsid w:val="006C1E5B"/>
    <w:rsid w:val="006C3874"/>
    <w:rsid w:val="006C78D7"/>
    <w:rsid w:val="006D0F35"/>
    <w:rsid w:val="006D1928"/>
    <w:rsid w:val="006D5332"/>
    <w:rsid w:val="006F0E2E"/>
    <w:rsid w:val="006F107F"/>
    <w:rsid w:val="006F6449"/>
    <w:rsid w:val="00703D5E"/>
    <w:rsid w:val="0070458D"/>
    <w:rsid w:val="0070693B"/>
    <w:rsid w:val="00707104"/>
    <w:rsid w:val="00707D9B"/>
    <w:rsid w:val="00722199"/>
    <w:rsid w:val="00726FB2"/>
    <w:rsid w:val="00736583"/>
    <w:rsid w:val="007409C3"/>
    <w:rsid w:val="00741696"/>
    <w:rsid w:val="007433A3"/>
    <w:rsid w:val="00744870"/>
    <w:rsid w:val="007459BE"/>
    <w:rsid w:val="00746DEA"/>
    <w:rsid w:val="00747E91"/>
    <w:rsid w:val="007501E6"/>
    <w:rsid w:val="00751002"/>
    <w:rsid w:val="00757104"/>
    <w:rsid w:val="007576AA"/>
    <w:rsid w:val="00757D49"/>
    <w:rsid w:val="00761B3F"/>
    <w:rsid w:val="0076757A"/>
    <w:rsid w:val="00771890"/>
    <w:rsid w:val="00777815"/>
    <w:rsid w:val="00780A43"/>
    <w:rsid w:val="00781794"/>
    <w:rsid w:val="00782736"/>
    <w:rsid w:val="007954F7"/>
    <w:rsid w:val="007A3849"/>
    <w:rsid w:val="007B127E"/>
    <w:rsid w:val="007B395D"/>
    <w:rsid w:val="007B51A2"/>
    <w:rsid w:val="007C4ED5"/>
    <w:rsid w:val="007C6078"/>
    <w:rsid w:val="007C7438"/>
    <w:rsid w:val="007D26B6"/>
    <w:rsid w:val="007D3F9A"/>
    <w:rsid w:val="007D7851"/>
    <w:rsid w:val="007D7B1A"/>
    <w:rsid w:val="007E0448"/>
    <w:rsid w:val="007E5CC3"/>
    <w:rsid w:val="007F5F14"/>
    <w:rsid w:val="0080186F"/>
    <w:rsid w:val="00803E2F"/>
    <w:rsid w:val="00805557"/>
    <w:rsid w:val="0080769E"/>
    <w:rsid w:val="00807AA9"/>
    <w:rsid w:val="0082451B"/>
    <w:rsid w:val="00825D3A"/>
    <w:rsid w:val="00825D67"/>
    <w:rsid w:val="00826856"/>
    <w:rsid w:val="0082693D"/>
    <w:rsid w:val="008531C2"/>
    <w:rsid w:val="00855A5F"/>
    <w:rsid w:val="008601E0"/>
    <w:rsid w:val="0086089D"/>
    <w:rsid w:val="00867452"/>
    <w:rsid w:val="00871F40"/>
    <w:rsid w:val="00872A43"/>
    <w:rsid w:val="00872B69"/>
    <w:rsid w:val="0088008E"/>
    <w:rsid w:val="0088089E"/>
    <w:rsid w:val="00884B13"/>
    <w:rsid w:val="00890A88"/>
    <w:rsid w:val="008A2EA8"/>
    <w:rsid w:val="008A5E0D"/>
    <w:rsid w:val="008A7418"/>
    <w:rsid w:val="008A7C38"/>
    <w:rsid w:val="008C276C"/>
    <w:rsid w:val="008C3739"/>
    <w:rsid w:val="008C3C98"/>
    <w:rsid w:val="008C410F"/>
    <w:rsid w:val="008D41AD"/>
    <w:rsid w:val="008E2311"/>
    <w:rsid w:val="008F148F"/>
    <w:rsid w:val="008F31C5"/>
    <w:rsid w:val="008F4652"/>
    <w:rsid w:val="008F5245"/>
    <w:rsid w:val="008F6926"/>
    <w:rsid w:val="009005EC"/>
    <w:rsid w:val="009076EA"/>
    <w:rsid w:val="00914021"/>
    <w:rsid w:val="00915E53"/>
    <w:rsid w:val="00917939"/>
    <w:rsid w:val="0092455C"/>
    <w:rsid w:val="009313D1"/>
    <w:rsid w:val="009363D5"/>
    <w:rsid w:val="00936424"/>
    <w:rsid w:val="009467FD"/>
    <w:rsid w:val="00950298"/>
    <w:rsid w:val="0095228F"/>
    <w:rsid w:val="009551CE"/>
    <w:rsid w:val="0095592A"/>
    <w:rsid w:val="00957E5B"/>
    <w:rsid w:val="00961A21"/>
    <w:rsid w:val="00963AAB"/>
    <w:rsid w:val="00971FB5"/>
    <w:rsid w:val="0097208D"/>
    <w:rsid w:val="00974B8E"/>
    <w:rsid w:val="00977ACC"/>
    <w:rsid w:val="00977EE4"/>
    <w:rsid w:val="0098460E"/>
    <w:rsid w:val="00984FB9"/>
    <w:rsid w:val="0098760D"/>
    <w:rsid w:val="009878B3"/>
    <w:rsid w:val="009878E7"/>
    <w:rsid w:val="00996ACC"/>
    <w:rsid w:val="009A06BA"/>
    <w:rsid w:val="009A3636"/>
    <w:rsid w:val="009A3BE7"/>
    <w:rsid w:val="009A52D3"/>
    <w:rsid w:val="009B2010"/>
    <w:rsid w:val="009B463A"/>
    <w:rsid w:val="009B5A68"/>
    <w:rsid w:val="009C1B57"/>
    <w:rsid w:val="009C2601"/>
    <w:rsid w:val="009C4B41"/>
    <w:rsid w:val="009C65BF"/>
    <w:rsid w:val="009C69D4"/>
    <w:rsid w:val="009C705D"/>
    <w:rsid w:val="009D0CA4"/>
    <w:rsid w:val="009D21A0"/>
    <w:rsid w:val="009D5CD6"/>
    <w:rsid w:val="009D68DB"/>
    <w:rsid w:val="009E04F2"/>
    <w:rsid w:val="009E137F"/>
    <w:rsid w:val="009F4694"/>
    <w:rsid w:val="009F55B4"/>
    <w:rsid w:val="009F6FBA"/>
    <w:rsid w:val="00A00467"/>
    <w:rsid w:val="00A15A15"/>
    <w:rsid w:val="00A17B82"/>
    <w:rsid w:val="00A26FA4"/>
    <w:rsid w:val="00A313CD"/>
    <w:rsid w:val="00A50CC0"/>
    <w:rsid w:val="00A54BF0"/>
    <w:rsid w:val="00A552C8"/>
    <w:rsid w:val="00A5558F"/>
    <w:rsid w:val="00A63175"/>
    <w:rsid w:val="00A6495F"/>
    <w:rsid w:val="00A6749B"/>
    <w:rsid w:val="00A745C7"/>
    <w:rsid w:val="00A76D8D"/>
    <w:rsid w:val="00A85D80"/>
    <w:rsid w:val="00A92EFD"/>
    <w:rsid w:val="00A95E31"/>
    <w:rsid w:val="00A9656A"/>
    <w:rsid w:val="00AA05D0"/>
    <w:rsid w:val="00AA3F81"/>
    <w:rsid w:val="00AA6378"/>
    <w:rsid w:val="00AB03B2"/>
    <w:rsid w:val="00AB75D8"/>
    <w:rsid w:val="00AC61AA"/>
    <w:rsid w:val="00AC682E"/>
    <w:rsid w:val="00AC7CFB"/>
    <w:rsid w:val="00AD195A"/>
    <w:rsid w:val="00AE1354"/>
    <w:rsid w:val="00AF5B67"/>
    <w:rsid w:val="00B05E85"/>
    <w:rsid w:val="00B116C8"/>
    <w:rsid w:val="00B12506"/>
    <w:rsid w:val="00B15BE1"/>
    <w:rsid w:val="00B15C01"/>
    <w:rsid w:val="00B247E6"/>
    <w:rsid w:val="00B255C5"/>
    <w:rsid w:val="00B25718"/>
    <w:rsid w:val="00B32062"/>
    <w:rsid w:val="00B3636E"/>
    <w:rsid w:val="00B41FC1"/>
    <w:rsid w:val="00B44FE0"/>
    <w:rsid w:val="00B476CD"/>
    <w:rsid w:val="00B56B84"/>
    <w:rsid w:val="00B57C04"/>
    <w:rsid w:val="00B635E8"/>
    <w:rsid w:val="00B63F70"/>
    <w:rsid w:val="00B65C58"/>
    <w:rsid w:val="00B6715F"/>
    <w:rsid w:val="00B81B7F"/>
    <w:rsid w:val="00B83FD9"/>
    <w:rsid w:val="00B85D0F"/>
    <w:rsid w:val="00B861DF"/>
    <w:rsid w:val="00B92241"/>
    <w:rsid w:val="00B96114"/>
    <w:rsid w:val="00BA02E2"/>
    <w:rsid w:val="00BA1D50"/>
    <w:rsid w:val="00BA584C"/>
    <w:rsid w:val="00BA6F13"/>
    <w:rsid w:val="00BA7A01"/>
    <w:rsid w:val="00BB4CEC"/>
    <w:rsid w:val="00BB6DFB"/>
    <w:rsid w:val="00BD34BC"/>
    <w:rsid w:val="00BD4CEE"/>
    <w:rsid w:val="00BD7F2C"/>
    <w:rsid w:val="00BE77DF"/>
    <w:rsid w:val="00BF0CAB"/>
    <w:rsid w:val="00BF2196"/>
    <w:rsid w:val="00BF323E"/>
    <w:rsid w:val="00BF7359"/>
    <w:rsid w:val="00C03955"/>
    <w:rsid w:val="00C11885"/>
    <w:rsid w:val="00C1778C"/>
    <w:rsid w:val="00C179FD"/>
    <w:rsid w:val="00C30A10"/>
    <w:rsid w:val="00C32259"/>
    <w:rsid w:val="00C34096"/>
    <w:rsid w:val="00C4049C"/>
    <w:rsid w:val="00C43110"/>
    <w:rsid w:val="00C52F3F"/>
    <w:rsid w:val="00C53799"/>
    <w:rsid w:val="00C75232"/>
    <w:rsid w:val="00C7709A"/>
    <w:rsid w:val="00C77B4D"/>
    <w:rsid w:val="00C866CD"/>
    <w:rsid w:val="00C932FF"/>
    <w:rsid w:val="00C94680"/>
    <w:rsid w:val="00C948ED"/>
    <w:rsid w:val="00C96270"/>
    <w:rsid w:val="00C966BE"/>
    <w:rsid w:val="00C96C65"/>
    <w:rsid w:val="00CA39EF"/>
    <w:rsid w:val="00CA4905"/>
    <w:rsid w:val="00CA71D6"/>
    <w:rsid w:val="00CB5CBD"/>
    <w:rsid w:val="00CC682B"/>
    <w:rsid w:val="00CE2C84"/>
    <w:rsid w:val="00CE5F05"/>
    <w:rsid w:val="00CE60E4"/>
    <w:rsid w:val="00CF0367"/>
    <w:rsid w:val="00D12685"/>
    <w:rsid w:val="00D147D7"/>
    <w:rsid w:val="00D207AD"/>
    <w:rsid w:val="00D21E54"/>
    <w:rsid w:val="00D2214E"/>
    <w:rsid w:val="00D22900"/>
    <w:rsid w:val="00D26488"/>
    <w:rsid w:val="00D30D1D"/>
    <w:rsid w:val="00D34BD7"/>
    <w:rsid w:val="00D354E3"/>
    <w:rsid w:val="00D57F3D"/>
    <w:rsid w:val="00D66501"/>
    <w:rsid w:val="00D67BBE"/>
    <w:rsid w:val="00D751DD"/>
    <w:rsid w:val="00D75E13"/>
    <w:rsid w:val="00D77121"/>
    <w:rsid w:val="00D85EB6"/>
    <w:rsid w:val="00D86EEF"/>
    <w:rsid w:val="00D92479"/>
    <w:rsid w:val="00D949F4"/>
    <w:rsid w:val="00DA0594"/>
    <w:rsid w:val="00DA05B9"/>
    <w:rsid w:val="00DA0D9D"/>
    <w:rsid w:val="00DA54F5"/>
    <w:rsid w:val="00DA5943"/>
    <w:rsid w:val="00DB250D"/>
    <w:rsid w:val="00DB5901"/>
    <w:rsid w:val="00DC37D3"/>
    <w:rsid w:val="00DC4367"/>
    <w:rsid w:val="00DC6818"/>
    <w:rsid w:val="00DD04EE"/>
    <w:rsid w:val="00DD0DD0"/>
    <w:rsid w:val="00DD2F10"/>
    <w:rsid w:val="00DE13F0"/>
    <w:rsid w:val="00DE36ED"/>
    <w:rsid w:val="00DF00C0"/>
    <w:rsid w:val="00DF3FB5"/>
    <w:rsid w:val="00E011EA"/>
    <w:rsid w:val="00E03672"/>
    <w:rsid w:val="00E117C6"/>
    <w:rsid w:val="00E2153D"/>
    <w:rsid w:val="00E235D3"/>
    <w:rsid w:val="00E2525F"/>
    <w:rsid w:val="00E271DB"/>
    <w:rsid w:val="00E273AA"/>
    <w:rsid w:val="00E30052"/>
    <w:rsid w:val="00E31D47"/>
    <w:rsid w:val="00E35258"/>
    <w:rsid w:val="00E41757"/>
    <w:rsid w:val="00E63258"/>
    <w:rsid w:val="00E64380"/>
    <w:rsid w:val="00E7168D"/>
    <w:rsid w:val="00E74ADD"/>
    <w:rsid w:val="00E74D36"/>
    <w:rsid w:val="00E770B9"/>
    <w:rsid w:val="00E77BEB"/>
    <w:rsid w:val="00E828B9"/>
    <w:rsid w:val="00E83485"/>
    <w:rsid w:val="00E83A1A"/>
    <w:rsid w:val="00E8672F"/>
    <w:rsid w:val="00E86B1A"/>
    <w:rsid w:val="00E86F28"/>
    <w:rsid w:val="00E911AC"/>
    <w:rsid w:val="00E965F2"/>
    <w:rsid w:val="00E976DF"/>
    <w:rsid w:val="00EA112E"/>
    <w:rsid w:val="00EA2A50"/>
    <w:rsid w:val="00EA350C"/>
    <w:rsid w:val="00EB03B2"/>
    <w:rsid w:val="00EB1CDC"/>
    <w:rsid w:val="00EB488E"/>
    <w:rsid w:val="00EB77A3"/>
    <w:rsid w:val="00EC03D9"/>
    <w:rsid w:val="00EC103D"/>
    <w:rsid w:val="00EC41A6"/>
    <w:rsid w:val="00ED0056"/>
    <w:rsid w:val="00ED0E7F"/>
    <w:rsid w:val="00ED4D32"/>
    <w:rsid w:val="00ED653A"/>
    <w:rsid w:val="00ED6A13"/>
    <w:rsid w:val="00EF745C"/>
    <w:rsid w:val="00F01F0E"/>
    <w:rsid w:val="00F02CEA"/>
    <w:rsid w:val="00F03237"/>
    <w:rsid w:val="00F14837"/>
    <w:rsid w:val="00F15D7B"/>
    <w:rsid w:val="00F17DDB"/>
    <w:rsid w:val="00F200AB"/>
    <w:rsid w:val="00F21AB4"/>
    <w:rsid w:val="00F23BF0"/>
    <w:rsid w:val="00F33384"/>
    <w:rsid w:val="00F340FF"/>
    <w:rsid w:val="00F35E80"/>
    <w:rsid w:val="00F41625"/>
    <w:rsid w:val="00F41E37"/>
    <w:rsid w:val="00F45B62"/>
    <w:rsid w:val="00F50D3C"/>
    <w:rsid w:val="00F570F4"/>
    <w:rsid w:val="00F650B8"/>
    <w:rsid w:val="00F660D9"/>
    <w:rsid w:val="00F71935"/>
    <w:rsid w:val="00F752B8"/>
    <w:rsid w:val="00F823B1"/>
    <w:rsid w:val="00F870C3"/>
    <w:rsid w:val="00F873FB"/>
    <w:rsid w:val="00F93D33"/>
    <w:rsid w:val="00F95B9F"/>
    <w:rsid w:val="00F97CB7"/>
    <w:rsid w:val="00FA57AF"/>
    <w:rsid w:val="00FB1D16"/>
    <w:rsid w:val="00FB5FA2"/>
    <w:rsid w:val="00FB74E8"/>
    <w:rsid w:val="00FB79A9"/>
    <w:rsid w:val="00FC2E3C"/>
    <w:rsid w:val="00FC47B5"/>
    <w:rsid w:val="00FD725F"/>
    <w:rsid w:val="00FE03CD"/>
    <w:rsid w:val="00FF1FF5"/>
    <w:rsid w:val="00FF3CF5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6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BalloonText">
    <w:name w:val="Balloon Text"/>
    <w:basedOn w:val="Normal"/>
    <w:semiHidden/>
    <w:rsid w:val="003E07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76C"/>
    <w:pPr>
      <w:spacing w:before="100" w:beforeAutospacing="1" w:after="100" w:afterAutospacing="1"/>
    </w:pPr>
    <w:rPr>
      <w:lang w:bidi="fa-IR"/>
    </w:rPr>
  </w:style>
  <w:style w:type="character" w:styleId="Strong">
    <w:name w:val="Strong"/>
    <w:basedOn w:val="DefaultParagraphFont"/>
    <w:uiPriority w:val="22"/>
    <w:qFormat/>
    <w:rsid w:val="008C276C"/>
    <w:rPr>
      <w:b/>
      <w:bCs/>
    </w:rPr>
  </w:style>
  <w:style w:type="paragraph" w:styleId="ListParagraph">
    <w:name w:val="List Paragraph"/>
    <w:basedOn w:val="Normal"/>
    <w:uiPriority w:val="34"/>
    <w:qFormat/>
    <w:rsid w:val="00DA05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SPGC.IR&#1588;&#1585;&#1603;&#157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5628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firouzi_r</dc:creator>
  <cp:lastModifiedBy>540855</cp:lastModifiedBy>
  <cp:revision>14</cp:revision>
  <cp:lastPrinted>2018-09-12T10:48:00Z</cp:lastPrinted>
  <dcterms:created xsi:type="dcterms:W3CDTF">2018-08-08T11:07:00Z</dcterms:created>
  <dcterms:modified xsi:type="dcterms:W3CDTF">2018-09-12T12:38:00Z</dcterms:modified>
</cp:coreProperties>
</file>