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386E25" w:rsidP="003E7FD2">
      <w:pPr>
        <w:jc w:val="center"/>
        <w:rPr>
          <w:rFonts w:cs="2  Titr"/>
          <w:b/>
          <w:bCs/>
          <w:rtl/>
        </w:rPr>
      </w:pPr>
      <w:r w:rsidRPr="00386E25">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4A6E5B">
            <w:pPr>
              <w:rPr>
                <w:rFonts w:cs="B Titr"/>
                <w:rtl/>
              </w:rPr>
            </w:pPr>
            <w:r w:rsidRPr="00446D14">
              <w:rPr>
                <w:rFonts w:cs="B Titr" w:hint="cs"/>
                <w:rtl/>
              </w:rPr>
              <w:t>شماره مناقصه :</w:t>
            </w:r>
            <w:r w:rsidR="006D0314">
              <w:rPr>
                <w:rFonts w:cs="B Titr" w:hint="cs"/>
                <w:rtl/>
              </w:rPr>
              <w:t xml:space="preserve">  </w:t>
            </w:r>
            <w:r w:rsidR="004A6E5B" w:rsidRPr="004A6E5B">
              <w:rPr>
                <w:rFonts w:cs="B Titr" w:hint="cs"/>
                <w:b/>
                <w:bCs/>
                <w:color w:val="FF0000"/>
                <w:sz w:val="32"/>
                <w:szCs w:val="32"/>
                <w:rtl/>
              </w:rPr>
              <w:t>023/96</w:t>
            </w:r>
            <w:r w:rsidR="006D0314" w:rsidRPr="004A6E5B">
              <w:rPr>
                <w:rFonts w:cs="B Titr" w:hint="cs"/>
                <w:sz w:val="28"/>
                <w:szCs w:val="28"/>
                <w:rtl/>
              </w:rPr>
              <w:t xml:space="preserve">         </w:t>
            </w:r>
            <w:r w:rsidR="0094728A" w:rsidRPr="004A6E5B">
              <w:rPr>
                <w:rFonts w:cs="B Titr" w:hint="cs"/>
                <w:sz w:val="28"/>
                <w:szCs w:val="28"/>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736C1E" w:rsidRPr="004A6E5B">
              <w:rPr>
                <w:rFonts w:cs="B Titr"/>
                <w:b/>
                <w:bCs/>
                <w:color w:val="FF0000"/>
                <w:sz w:val="32"/>
                <w:szCs w:val="32"/>
              </w:rPr>
              <w:t>PR</w:t>
            </w:r>
            <w:r w:rsidR="00254611" w:rsidRPr="004A6E5B">
              <w:rPr>
                <w:rFonts w:cs="B Titr" w:hint="cs"/>
                <w:b/>
                <w:bCs/>
                <w:color w:val="FF0000"/>
                <w:sz w:val="32"/>
                <w:szCs w:val="32"/>
                <w:rtl/>
              </w:rPr>
              <w:t xml:space="preserve"> -</w:t>
            </w:r>
            <w:r w:rsidR="00C87928" w:rsidRPr="004A6E5B">
              <w:rPr>
                <w:rFonts w:cs="B Titr" w:hint="cs"/>
                <w:b/>
                <w:bCs/>
                <w:color w:val="FF0000"/>
                <w:sz w:val="32"/>
                <w:szCs w:val="32"/>
                <w:rtl/>
              </w:rPr>
              <w:t xml:space="preserve"> </w:t>
            </w:r>
            <w:r w:rsidR="004A6E5B" w:rsidRPr="004A6E5B">
              <w:rPr>
                <w:rFonts w:cs="B Titr" w:hint="cs"/>
                <w:b/>
                <w:bCs/>
                <w:color w:val="FF0000"/>
                <w:sz w:val="32"/>
                <w:szCs w:val="32"/>
                <w:rtl/>
              </w:rPr>
              <w:t>9640380</w:t>
            </w:r>
            <w:r w:rsidR="00D04195" w:rsidRPr="004A6E5B">
              <w:rPr>
                <w:rFonts w:cs="B Titr"/>
                <w:b/>
                <w:bCs/>
                <w:sz w:val="32"/>
                <w:szCs w:val="32"/>
                <w:rtl/>
              </w:rPr>
              <w:t xml:space="preserve">   </w:t>
            </w:r>
          </w:p>
          <w:p w:rsidR="007170AF" w:rsidRPr="00446D14" w:rsidRDefault="007170AF" w:rsidP="004A6E5B">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4A6E5B" w:rsidRPr="004A6E5B">
              <w:rPr>
                <w:rFonts w:cs="Yagut"/>
                <w:b/>
                <w:bCs/>
                <w:color w:val="FF0000"/>
                <w:sz w:val="48"/>
                <w:szCs w:val="48"/>
              </w:rPr>
              <w:t>ANTI- FOAM SAG 7133</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hint="cs"/>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314570">
            <w:pPr>
              <w:jc w:val="center"/>
              <w:rPr>
                <w:rFonts w:cs="B Titr"/>
                <w:b/>
                <w:bCs/>
                <w:sz w:val="20"/>
                <w:szCs w:val="20"/>
              </w:rPr>
            </w:pPr>
            <w:r>
              <w:rPr>
                <w:rFonts w:cs="B Titr" w:hint="cs"/>
                <w:b/>
                <w:bCs/>
                <w:sz w:val="20"/>
                <w:szCs w:val="20"/>
                <w:rtl/>
              </w:rPr>
              <w:t>139</w:t>
            </w:r>
            <w:r w:rsidR="00314570">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981FA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1-</w:t>
      </w:r>
      <w:r w:rsidR="00D853B2">
        <w:rPr>
          <w:rFonts w:cs="B Nazanin" w:hint="cs"/>
          <w:b/>
          <w:bCs/>
          <w:sz w:val="24"/>
          <w:szCs w:val="24"/>
          <w:rtl/>
        </w:rPr>
        <w:t xml:space="preserve"> متناسب با تعداد برگه هاي حسن انجام كار</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981FAD">
      <w:pPr>
        <w:pStyle w:val="ListParagraph"/>
        <w:numPr>
          <w:ilvl w:val="0"/>
          <w:numId w:val="4"/>
        </w:numPr>
        <w:ind w:left="337"/>
        <w:jc w:val="both"/>
        <w:rPr>
          <w:rFonts w:cs="B Nazanin"/>
        </w:rPr>
      </w:pPr>
      <w:r w:rsidRPr="00FB0F92">
        <w:rPr>
          <w:rFonts w:cs="B Nazanin" w:hint="cs"/>
          <w:rtl/>
        </w:rPr>
        <w:t xml:space="preserve">به منظور کسب حداکثر امتیاز این بخش </w:t>
      </w:r>
      <w:r w:rsidR="00871A8D">
        <w:rPr>
          <w:rFonts w:cs="B Nazanin" w:hint="cs"/>
          <w:rtl/>
        </w:rPr>
        <w:t xml:space="preserve"> قرار داد هاي تامين </w:t>
      </w:r>
      <w:r w:rsidR="00981FAD">
        <w:rPr>
          <w:rFonts w:cs="B Nazanin" w:hint="cs"/>
          <w:rtl/>
        </w:rPr>
        <w:t xml:space="preserve">مواد شيميايي </w:t>
      </w:r>
      <w:r w:rsidR="00981FAD">
        <w:rPr>
          <w:rFonts w:cs="B Nazanin"/>
        </w:rPr>
        <w:t>ANTI FOAM</w:t>
      </w:r>
      <w:r w:rsidR="00736C1E">
        <w:rPr>
          <w:rFonts w:cs="B Nazanin" w:hint="cs"/>
          <w:rtl/>
        </w:rPr>
        <w:t xml:space="preserve"> </w:t>
      </w:r>
      <w:r w:rsidR="00871A8D">
        <w:rPr>
          <w:rFonts w:cs="B Nazanin" w:hint="cs"/>
          <w:rtl/>
        </w:rPr>
        <w:t xml:space="preserve"> ارائه گردد  </w:t>
      </w:r>
      <w:r w:rsidRPr="00FB0F92">
        <w:rPr>
          <w:rFonts w:cs="B Nazanin" w:hint="cs"/>
          <w:rtl/>
        </w:rPr>
        <w:t>(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981FAD">
        <w:rPr>
          <w:rFonts w:cs="B Nazanin" w:hint="cs"/>
          <w:rtl/>
        </w:rPr>
        <w:t xml:space="preserve">حد اكثر </w:t>
      </w:r>
      <w:r w:rsidRPr="00FB0F92">
        <w:rPr>
          <w:rFonts w:cs="B Nazanin" w:hint="cs"/>
          <w:rtl/>
        </w:rPr>
        <w:t xml:space="preserve">معادل </w:t>
      </w:r>
      <w:r w:rsidR="00871A8D">
        <w:rPr>
          <w:rFonts w:cs="B Nazanin" w:hint="cs"/>
          <w:rtl/>
        </w:rPr>
        <w:t xml:space="preserve"> 30% </w:t>
      </w:r>
      <w:r w:rsidRPr="00FB0F92">
        <w:rPr>
          <w:rFonts w:cs="B Nazanin" w:hint="cs"/>
          <w:rtl/>
        </w:rPr>
        <w:t xml:space="preserve">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63181" w:rsidRDefault="00563181" w:rsidP="00450AAA">
      <w:pPr>
        <w:spacing w:line="240" w:lineRule="auto"/>
        <w:jc w:val="both"/>
        <w:rPr>
          <w:rFonts w:cs="B Titr"/>
          <w:rtl/>
        </w:rPr>
      </w:pPr>
    </w:p>
    <w:p w:rsidR="00254611" w:rsidRDefault="0025461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736C1E"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596" w:rsidRDefault="00675596" w:rsidP="007170AF">
      <w:pPr>
        <w:spacing w:after="0" w:line="240" w:lineRule="auto"/>
      </w:pPr>
      <w:r>
        <w:separator/>
      </w:r>
    </w:p>
  </w:endnote>
  <w:endnote w:type="continuationSeparator" w:id="1">
    <w:p w:rsidR="00675596" w:rsidRDefault="00675596"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386E25">
        <w:pPr>
          <w:pStyle w:val="Footer"/>
          <w:jc w:val="center"/>
        </w:pPr>
        <w:fldSimple w:instr=" PAGE   \* MERGEFORMAT ">
          <w:r w:rsidR="00981FAD">
            <w:rPr>
              <w:noProof/>
              <w:rtl/>
            </w:rPr>
            <w:t>6</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596" w:rsidRDefault="00675596" w:rsidP="007170AF">
      <w:pPr>
        <w:spacing w:after="0" w:line="240" w:lineRule="auto"/>
      </w:pPr>
      <w:r>
        <w:separator/>
      </w:r>
    </w:p>
  </w:footnote>
  <w:footnote w:type="continuationSeparator" w:id="1">
    <w:p w:rsidR="00675596" w:rsidRDefault="00675596"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386E25">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71C42"/>
    <w:rsid w:val="00077C39"/>
    <w:rsid w:val="00093912"/>
    <w:rsid w:val="00095669"/>
    <w:rsid w:val="00096F8D"/>
    <w:rsid w:val="000A388A"/>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14570"/>
    <w:rsid w:val="00322076"/>
    <w:rsid w:val="0033502C"/>
    <w:rsid w:val="00336B86"/>
    <w:rsid w:val="0034290F"/>
    <w:rsid w:val="00367C18"/>
    <w:rsid w:val="00367C8C"/>
    <w:rsid w:val="00377CD7"/>
    <w:rsid w:val="00385FDD"/>
    <w:rsid w:val="00386E25"/>
    <w:rsid w:val="00387510"/>
    <w:rsid w:val="003902EF"/>
    <w:rsid w:val="003A002C"/>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39C1"/>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3159"/>
    <w:rsid w:val="0067223C"/>
    <w:rsid w:val="00675596"/>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1A8D"/>
    <w:rsid w:val="00874266"/>
    <w:rsid w:val="00875914"/>
    <w:rsid w:val="00877937"/>
    <w:rsid w:val="0088725B"/>
    <w:rsid w:val="00887E46"/>
    <w:rsid w:val="008927A4"/>
    <w:rsid w:val="00892A72"/>
    <w:rsid w:val="008A6174"/>
    <w:rsid w:val="008B429B"/>
    <w:rsid w:val="008C03B7"/>
    <w:rsid w:val="008D41AC"/>
    <w:rsid w:val="008E25F3"/>
    <w:rsid w:val="008E32DD"/>
    <w:rsid w:val="0090151F"/>
    <w:rsid w:val="00901C2D"/>
    <w:rsid w:val="00926C52"/>
    <w:rsid w:val="009357D3"/>
    <w:rsid w:val="00941FEE"/>
    <w:rsid w:val="00943639"/>
    <w:rsid w:val="0094728A"/>
    <w:rsid w:val="00950831"/>
    <w:rsid w:val="00951CEA"/>
    <w:rsid w:val="00967E06"/>
    <w:rsid w:val="00981FAD"/>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4</cp:revision>
  <cp:lastPrinted>2017-06-10T05:42:00Z</cp:lastPrinted>
  <dcterms:created xsi:type="dcterms:W3CDTF">2017-09-26T08:01:00Z</dcterms:created>
  <dcterms:modified xsi:type="dcterms:W3CDTF">2017-10-06T06:31:00Z</dcterms:modified>
</cp:coreProperties>
</file>