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C72293" w:rsidP="003E7FD2">
      <w:pPr>
        <w:jc w:val="center"/>
        <w:rPr>
          <w:rFonts w:cs="2  Titr"/>
          <w:b/>
          <w:bCs/>
          <w:rtl/>
        </w:rPr>
      </w:pPr>
      <w:r w:rsidRPr="00C72293">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8A36FD" w:rsidRDefault="008A36FD" w:rsidP="003E7FD2">
                  <w:pPr>
                    <w:rPr>
                      <w:rtl/>
                    </w:rPr>
                  </w:pPr>
                </w:p>
                <w:p w:rsidR="008A36FD" w:rsidRPr="002E0AF2" w:rsidRDefault="008A36FD" w:rsidP="003E7FD2">
                  <w:pPr>
                    <w:rPr>
                      <w:sz w:val="6"/>
                      <w:szCs w:val="10"/>
                      <w:rtl/>
                    </w:rPr>
                  </w:pPr>
                </w:p>
                <w:p w:rsidR="008A36FD" w:rsidRDefault="008A36FD"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8A36FD" w:rsidRPr="00077C39" w:rsidRDefault="008A36FD"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8A36FD" w:rsidRPr="00A90D79" w:rsidRDefault="008A36FD"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446D14" w:rsidRDefault="0024282B" w:rsidP="009253D7">
            <w:pPr>
              <w:rPr>
                <w:rFonts w:cs="B Titr"/>
                <w:rtl/>
              </w:rPr>
            </w:pPr>
            <w:r w:rsidRPr="00446D14">
              <w:rPr>
                <w:rFonts w:cs="B Titr" w:hint="cs"/>
                <w:rtl/>
              </w:rPr>
              <w:t>شماره مناقصه :</w:t>
            </w:r>
            <w:r>
              <w:rPr>
                <w:rFonts w:cs="B Titr" w:hint="cs"/>
                <w:rtl/>
              </w:rPr>
              <w:t xml:space="preserve">                                  </w:t>
            </w:r>
            <w:r w:rsidR="00F87520">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B005CD">
              <w:rPr>
                <w:rFonts w:cs="Titr"/>
                <w:color w:val="FF0000"/>
                <w:sz w:val="32"/>
                <w:szCs w:val="32"/>
                <w:u w:val="single"/>
              </w:rPr>
              <w:t xml:space="preserve">- </w:t>
            </w:r>
            <w:r w:rsidR="00D2185E">
              <w:rPr>
                <w:rFonts w:cs="Titr"/>
                <w:b/>
                <w:bCs/>
                <w:color w:val="FF0000"/>
                <w:sz w:val="32"/>
                <w:szCs w:val="32"/>
                <w:u w:val="single"/>
              </w:rPr>
              <w:t>JG</w:t>
            </w:r>
            <w:r w:rsidR="007C62C9" w:rsidRPr="00B005CD">
              <w:rPr>
                <w:rFonts w:cs="Titr"/>
                <w:color w:val="FF0000"/>
                <w:sz w:val="32"/>
                <w:szCs w:val="32"/>
                <w:u w:val="single"/>
              </w:rPr>
              <w:t xml:space="preserve"> </w:t>
            </w:r>
            <w:r w:rsidR="007C62C9" w:rsidRPr="00B005CD">
              <w:rPr>
                <w:rFonts w:cs="Titr" w:hint="cs"/>
                <w:color w:val="FF0000"/>
                <w:sz w:val="32"/>
                <w:szCs w:val="32"/>
                <w:u w:val="single"/>
                <w:rtl/>
              </w:rPr>
              <w:t xml:space="preserve">  </w:t>
            </w:r>
            <w:r w:rsidR="009253D7">
              <w:rPr>
                <w:rFonts w:cs="Titr" w:hint="cs"/>
                <w:color w:val="FF0000"/>
                <w:sz w:val="32"/>
                <w:szCs w:val="32"/>
                <w:u w:val="single"/>
                <w:rtl/>
              </w:rPr>
              <w:t>9740909</w:t>
            </w:r>
            <w:r w:rsidR="007C62C9" w:rsidRPr="00B005CD">
              <w:rPr>
                <w:rFonts w:cs="Titr"/>
                <w:color w:val="FF0000"/>
                <w:sz w:val="32"/>
                <w:szCs w:val="32"/>
                <w:u w:val="single"/>
                <w:rtl/>
              </w:rPr>
              <w:t xml:space="preserve"> </w:t>
            </w:r>
            <w:r w:rsidR="007C62C9" w:rsidRPr="00B005CD">
              <w:rPr>
                <w:rFonts w:cs="Titr"/>
                <w:color w:val="FF0000"/>
                <w:sz w:val="32"/>
                <w:szCs w:val="32"/>
                <w:u w:val="single"/>
              </w:rPr>
              <w:t xml:space="preserve"> </w:t>
            </w:r>
          </w:p>
          <w:p w:rsidR="009253D7" w:rsidRPr="009253D7" w:rsidRDefault="0024282B" w:rsidP="009253D7">
            <w:pPr>
              <w:ind w:left="-18"/>
              <w:rPr>
                <w:rFonts w:cs="B Titr"/>
                <w:b/>
                <w:bCs/>
                <w:color w:val="FF0000"/>
                <w:sz w:val="18"/>
                <w:szCs w:val="18"/>
              </w:rPr>
            </w:pPr>
            <w:r w:rsidRPr="00446D14">
              <w:rPr>
                <w:rFonts w:cs="B Titr" w:hint="cs"/>
                <w:rtl/>
              </w:rPr>
              <w:t>موضوع مناقصه :</w:t>
            </w:r>
            <w:r w:rsidR="008A36FD" w:rsidRPr="00D2185E">
              <w:rPr>
                <w:rFonts w:ascii="Times New Roman" w:eastAsia="Times New Roman" w:hAnsi="Times New Roman" w:cs="Yagut" w:hint="cs"/>
                <w:b/>
                <w:bCs/>
                <w:sz w:val="16"/>
                <w:szCs w:val="16"/>
                <w:rtl/>
              </w:rPr>
              <w:t xml:space="preserve"> </w:t>
            </w:r>
            <w:r w:rsidR="009253D7" w:rsidRPr="009253D7">
              <w:rPr>
                <w:rFonts w:cs="B Titr" w:hint="cs"/>
                <w:b/>
                <w:bCs/>
                <w:color w:val="FF0000"/>
                <w:sz w:val="18"/>
                <w:szCs w:val="18"/>
                <w:rtl/>
              </w:rPr>
              <w:t xml:space="preserve">تامين قطعات </w:t>
            </w:r>
            <w:r w:rsidR="009253D7" w:rsidRPr="009253D7">
              <w:rPr>
                <w:rFonts w:cs="B Titr"/>
                <w:b/>
                <w:bCs/>
                <w:color w:val="FF0000"/>
                <w:sz w:val="18"/>
                <w:szCs w:val="18"/>
              </w:rPr>
              <w:t>FIRE&amp;GAS DETECTION SYS.</w:t>
            </w:r>
            <w:r w:rsidR="009253D7" w:rsidRPr="009253D7">
              <w:rPr>
                <w:rFonts w:cs="B Titr" w:hint="cs"/>
                <w:b/>
                <w:bCs/>
                <w:color w:val="FF0000"/>
                <w:sz w:val="18"/>
                <w:szCs w:val="18"/>
                <w:rtl/>
              </w:rPr>
              <w:t xml:space="preserve">  ساخت شركت </w:t>
            </w:r>
            <w:r w:rsidR="009253D7" w:rsidRPr="009253D7">
              <w:rPr>
                <w:rFonts w:cs="B Titr"/>
                <w:b/>
                <w:bCs/>
                <w:color w:val="FF0000"/>
                <w:sz w:val="18"/>
                <w:szCs w:val="18"/>
              </w:rPr>
              <w:t xml:space="preserve">ZELWEGER CO (SIEGER)  </w:t>
            </w:r>
            <w:r w:rsidR="009253D7" w:rsidRPr="009253D7">
              <w:rPr>
                <w:rFonts w:cs="B Titr" w:hint="cs"/>
                <w:b/>
                <w:bCs/>
                <w:color w:val="FF0000"/>
                <w:sz w:val="18"/>
                <w:szCs w:val="18"/>
                <w:rtl/>
              </w:rPr>
              <w:t xml:space="preserve"> </w:t>
            </w:r>
          </w:p>
          <w:p w:rsidR="007170AF" w:rsidRPr="00C81516" w:rsidRDefault="007170AF" w:rsidP="00D2185E">
            <w:pPr>
              <w:ind w:left="-18"/>
              <w:rPr>
                <w:rFonts w:cs="B Yagut"/>
                <w:rtl/>
              </w:rPr>
            </w:pP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A76B5E">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8A36FD">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8A36FD">
              <w:trPr>
                <w:trHeight w:val="226"/>
              </w:trPr>
              <w:tc>
                <w:tcPr>
                  <w:tcW w:w="10130" w:type="dxa"/>
                  <w:vMerge w:val="restart"/>
                  <w:tcBorders>
                    <w:top w:val="nil"/>
                    <w:left w:val="nil"/>
                    <w:bottom w:val="nil"/>
                    <w:right w:val="nil"/>
                  </w:tcBorders>
                  <w:hideMark/>
                </w:tcPr>
                <w:p w:rsidR="00BD65BA" w:rsidRPr="00BD65BA" w:rsidRDefault="00BD65BA" w:rsidP="008A36FD">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8A36FD">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8A36FD">
              <w:trPr>
                <w:trHeight w:val="150"/>
              </w:trPr>
              <w:tc>
                <w:tcPr>
                  <w:tcW w:w="0" w:type="auto"/>
                  <w:vMerge/>
                  <w:tcBorders>
                    <w:top w:val="nil"/>
                    <w:left w:val="nil"/>
                    <w:bottom w:val="nil"/>
                    <w:right w:val="nil"/>
                  </w:tcBorders>
                  <w:vAlign w:val="center"/>
                  <w:hideMark/>
                </w:tcPr>
                <w:p w:rsidR="00BD65BA" w:rsidRPr="00BD65BA" w:rsidRDefault="00BD65BA" w:rsidP="008A36FD">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8A36FD">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8A36FD">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8A36FD">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8A36FD">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8A36FD">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8A36FD">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8A36FD">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8A36FD">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8A36FD">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8A36FD">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8A36FD">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8A36FD">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8A36FD">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8A36FD">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8A36FD">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8A36FD">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8A36FD">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8A36FD">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8A36FD">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8A36FD">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8A36FD">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8A36FD">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8A36FD">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8A36FD">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8A36FD">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8A36FD">
            <w:pPr>
              <w:bidi w:val="0"/>
              <w:spacing w:after="0"/>
              <w:rPr>
                <w:rFonts w:ascii="BZar" w:eastAsia="Calibri" w:hAnsi="Calibri" w:cs="B Nazanin"/>
                <w:b/>
                <w:bCs/>
                <w:sz w:val="20"/>
                <w:szCs w:val="20"/>
                <w:rtl/>
              </w:rPr>
            </w:pPr>
          </w:p>
          <w:p w:rsidR="00BD65BA" w:rsidRPr="00BD65BA" w:rsidRDefault="00BD65BA" w:rsidP="008A36FD">
            <w:pPr>
              <w:bidi w:val="0"/>
              <w:spacing w:after="0"/>
              <w:rPr>
                <w:rFonts w:ascii="BZar" w:eastAsia="Calibri" w:hAnsi="Calibri" w:cs="B Nazanin"/>
                <w:b/>
                <w:bCs/>
                <w:sz w:val="20"/>
                <w:szCs w:val="20"/>
                <w:rtl/>
              </w:rPr>
            </w:pPr>
          </w:p>
          <w:p w:rsidR="00BD65BA" w:rsidRPr="00BD65BA" w:rsidRDefault="00BD65BA" w:rsidP="008A36FD">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8A36FD">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8A36FD">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8A36FD">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8A36FD">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8A36FD">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8A36FD">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8A36FD">
        <w:trPr>
          <w:trHeight w:val="107"/>
        </w:trPr>
        <w:tc>
          <w:tcPr>
            <w:tcW w:w="14884" w:type="dxa"/>
            <w:tcBorders>
              <w:top w:val="single" w:sz="4" w:space="0" w:color="auto"/>
              <w:left w:val="nil"/>
              <w:bottom w:val="nil"/>
              <w:right w:val="nil"/>
            </w:tcBorders>
            <w:vAlign w:val="center"/>
            <w:hideMark/>
          </w:tcPr>
          <w:p w:rsidR="00BD65BA" w:rsidRPr="00BD65BA" w:rsidRDefault="00BD65BA" w:rsidP="008A36FD">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380BD2" w:rsidP="003E24DD">
      <w:pPr>
        <w:pStyle w:val="ListParagraph"/>
        <w:numPr>
          <w:ilvl w:val="0"/>
          <w:numId w:val="4"/>
        </w:numPr>
        <w:ind w:left="337"/>
        <w:jc w:val="both"/>
        <w:rPr>
          <w:rFonts w:cs="B Nazanin"/>
        </w:rPr>
      </w:pPr>
      <w:r>
        <w:rPr>
          <w:rFonts w:cs="B Nazanin" w:hint="cs"/>
          <w:rtl/>
        </w:rPr>
        <w:t xml:space="preserve"> براي هر قرار داد مشابه متناسب با مبلغ قرار داد حد اكثر  25 امتياز تعلق خواهد گرفت.</w:t>
      </w:r>
    </w:p>
    <w:p w:rsidR="00380BD2" w:rsidRDefault="00380BD2" w:rsidP="003E24DD">
      <w:pPr>
        <w:pStyle w:val="ListParagraph"/>
        <w:numPr>
          <w:ilvl w:val="0"/>
          <w:numId w:val="4"/>
        </w:numPr>
        <w:ind w:left="337"/>
        <w:jc w:val="both"/>
        <w:rPr>
          <w:rFonts w:cs="B Nazanin"/>
        </w:rPr>
      </w:pPr>
      <w:r>
        <w:rPr>
          <w:rFonts w:cs="B Nazanin" w:hint="cs"/>
          <w:rtl/>
        </w:rPr>
        <w:t>براي هر قرار داد نيمه مشابه  متناسب با مبلغ قرار داد حد اكثر</w:t>
      </w:r>
      <w:r w:rsidR="00BB11B4">
        <w:rPr>
          <w:rFonts w:cs="B Nazanin" w:hint="cs"/>
          <w:rtl/>
        </w:rPr>
        <w:t>70</w:t>
      </w:r>
      <w:r w:rsidR="00E75233">
        <w:rPr>
          <w:rFonts w:cs="B Nazanin" w:hint="cs"/>
          <w:rtl/>
        </w:rPr>
        <w:t xml:space="preserve">% </w:t>
      </w:r>
      <w:r>
        <w:rPr>
          <w:rFonts w:cs="B Nazanin" w:hint="cs"/>
          <w:rtl/>
        </w:rPr>
        <w:t xml:space="preserve">امتياز مشابه  تعلق خواهد گرفت. </w:t>
      </w:r>
    </w:p>
    <w:p w:rsidR="00380BD2" w:rsidRDefault="00380BD2" w:rsidP="003E24DD">
      <w:pPr>
        <w:pStyle w:val="ListParagraph"/>
        <w:numPr>
          <w:ilvl w:val="0"/>
          <w:numId w:val="4"/>
        </w:numPr>
        <w:ind w:left="337"/>
        <w:jc w:val="both"/>
        <w:rPr>
          <w:rFonts w:cs="B Nazanin"/>
        </w:rPr>
      </w:pPr>
      <w:r>
        <w:rPr>
          <w:rFonts w:cs="B Nazanin" w:hint="cs"/>
          <w:rtl/>
        </w:rPr>
        <w:t>براي هر قرار داد غير مشابه مشابه  متناسب با مبلغ قرار داد</w:t>
      </w:r>
      <w:r w:rsidRPr="00A61D88">
        <w:rPr>
          <w:rFonts w:cs="B Nazanin" w:hint="cs"/>
          <w:rtl/>
        </w:rPr>
        <w:t xml:space="preserve"> </w:t>
      </w:r>
      <w:r w:rsidR="00E75233">
        <w:rPr>
          <w:rFonts w:cs="B Nazanin" w:hint="cs"/>
          <w:rtl/>
        </w:rPr>
        <w:t xml:space="preserve">حد اكثر30% </w:t>
      </w:r>
      <w:r>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A99" w:rsidRDefault="006C4A99" w:rsidP="007170AF">
      <w:pPr>
        <w:spacing w:after="0" w:line="240" w:lineRule="auto"/>
      </w:pPr>
      <w:r>
        <w:separator/>
      </w:r>
    </w:p>
  </w:endnote>
  <w:endnote w:type="continuationSeparator" w:id="1">
    <w:p w:rsidR="006C4A99" w:rsidRDefault="006C4A9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8A36FD" w:rsidRDefault="00C72293">
        <w:pPr>
          <w:pStyle w:val="Footer"/>
          <w:jc w:val="center"/>
        </w:pPr>
        <w:fldSimple w:instr=" PAGE   \* MERGEFORMAT ">
          <w:r w:rsidR="007A2F40">
            <w:rPr>
              <w:noProof/>
              <w:rtl/>
            </w:rPr>
            <w:t>5</w:t>
          </w:r>
        </w:fldSimple>
      </w:p>
    </w:sdtContent>
  </w:sdt>
  <w:p w:rsidR="008A36FD" w:rsidRDefault="008A3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A99" w:rsidRDefault="006C4A99" w:rsidP="007170AF">
      <w:pPr>
        <w:spacing w:after="0" w:line="240" w:lineRule="auto"/>
      </w:pPr>
      <w:r>
        <w:separator/>
      </w:r>
    </w:p>
  </w:footnote>
  <w:footnote w:type="continuationSeparator" w:id="1">
    <w:p w:rsidR="006C4A99" w:rsidRDefault="006C4A9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FD" w:rsidRDefault="00C72293">
    <w:pPr>
      <w:pStyle w:val="Header"/>
    </w:pPr>
    <w:r>
      <w:rPr>
        <w:noProof/>
      </w:rPr>
      <w:pict>
        <v:roundrect id="_x0000_s13318" style="position:absolute;left:0;text-align:left;margin-left:1.75pt;margin-top:-4.15pt;width:738.75pt;height:63pt;z-index:251658240" arcsize="10923f">
          <v:textbox style="mso-next-textbox:#_x0000_s13318">
            <w:txbxContent>
              <w:p w:rsidR="008A36FD" w:rsidRPr="00D2185E" w:rsidRDefault="008A36FD" w:rsidP="009253D7">
                <w:pPr>
                  <w:rPr>
                    <w:sz w:val="20"/>
                    <w:szCs w:val="20"/>
                    <w:rtl/>
                  </w:rPr>
                </w:pPr>
                <w:r w:rsidRPr="005547D7">
                  <w:rPr>
                    <w:rFonts w:hint="cs"/>
                    <w:sz w:val="24"/>
                    <w:szCs w:val="24"/>
                    <w:rtl/>
                  </w:rPr>
                  <w:t xml:space="preserve">      </w:t>
                </w:r>
                <w:r w:rsidRPr="00D2185E">
                  <w:rPr>
                    <w:noProof/>
                    <w:sz w:val="20"/>
                    <w:szCs w:val="20"/>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D2185E">
                  <w:rPr>
                    <w:rFonts w:hint="cs"/>
                    <w:sz w:val="20"/>
                    <w:szCs w:val="20"/>
                    <w:rtl/>
                  </w:rPr>
                  <w:t xml:space="preserve">          </w:t>
                </w:r>
                <w:r w:rsidRPr="00D2185E">
                  <w:rPr>
                    <w:rFonts w:cs="B Titr" w:hint="cs"/>
                    <w:sz w:val="20"/>
                    <w:szCs w:val="20"/>
                    <w:rtl/>
                  </w:rPr>
                  <w:t xml:space="preserve">بـرگ های استعلام ارزیابـی کیفـی تـأمین کنندگان  شماره تقاضا : </w:t>
                </w:r>
                <w:r w:rsidR="009253D7">
                  <w:rPr>
                    <w:rFonts w:cs="B Titr" w:hint="cs"/>
                    <w:sz w:val="20"/>
                    <w:szCs w:val="20"/>
                    <w:rtl/>
                  </w:rPr>
                  <w:t>9740909</w:t>
                </w:r>
                <w:r w:rsidRPr="00D2185E">
                  <w:rPr>
                    <w:rFonts w:cs="B Titr" w:hint="cs"/>
                    <w:sz w:val="20"/>
                    <w:szCs w:val="20"/>
                    <w:rtl/>
                  </w:rPr>
                  <w:t xml:space="preserve">  موضوع</w:t>
                </w:r>
                <w:r w:rsidRPr="00D2185E">
                  <w:rPr>
                    <w:rFonts w:cs="Titr" w:hint="cs"/>
                    <w:sz w:val="20"/>
                    <w:szCs w:val="20"/>
                    <w:rtl/>
                  </w:rPr>
                  <w:t>:</w:t>
                </w:r>
                <w:r w:rsidR="00D2185E" w:rsidRPr="00D2185E">
                  <w:rPr>
                    <w:rFonts w:cs="B Titr" w:hint="cs"/>
                    <w:b/>
                    <w:bCs/>
                    <w:color w:val="FF0000"/>
                    <w:sz w:val="20"/>
                    <w:szCs w:val="20"/>
                    <w:rtl/>
                  </w:rPr>
                  <w:t xml:space="preserve"> </w:t>
                </w:r>
                <w:r w:rsidR="009253D7" w:rsidRPr="009253D7">
                  <w:rPr>
                    <w:rFonts w:ascii="Times New Roman" w:eastAsia="Times New Roman" w:hAnsi="Times New Roman" w:cs="Mitra" w:hint="cs"/>
                    <w:b/>
                    <w:bCs/>
                    <w:sz w:val="20"/>
                    <w:szCs w:val="20"/>
                    <w:rtl/>
                  </w:rPr>
                  <w:t xml:space="preserve">تامين قطعات </w:t>
                </w:r>
                <w:r w:rsidR="009253D7" w:rsidRPr="009253D7">
                  <w:rPr>
                    <w:rFonts w:ascii="Times New Roman" w:eastAsia="Times New Roman" w:hAnsi="Times New Roman" w:cs="Mitra"/>
                    <w:b/>
                    <w:bCs/>
                    <w:sz w:val="20"/>
                    <w:szCs w:val="20"/>
                  </w:rPr>
                  <w:t>FIRE&amp;GAS DETECTION SYS.</w:t>
                </w:r>
                <w:r w:rsidR="009253D7" w:rsidRPr="009253D7">
                  <w:rPr>
                    <w:rFonts w:ascii="Times New Roman" w:eastAsia="Times New Roman" w:hAnsi="Times New Roman" w:cs="Mitra" w:hint="cs"/>
                    <w:b/>
                    <w:bCs/>
                    <w:sz w:val="20"/>
                    <w:szCs w:val="20"/>
                    <w:rtl/>
                  </w:rPr>
                  <w:t xml:space="preserve">  ساخت شركت </w:t>
                </w:r>
                <w:r w:rsidR="009253D7" w:rsidRPr="009253D7">
                  <w:rPr>
                    <w:rFonts w:ascii="Times New Roman" w:eastAsia="Times New Roman" w:hAnsi="Times New Roman" w:cs="Mitra"/>
                    <w:b/>
                    <w:bCs/>
                    <w:sz w:val="20"/>
                    <w:szCs w:val="20"/>
                  </w:rPr>
                  <w:t xml:space="preserve">ZELWEGER CO (SIEGER)  </w:t>
                </w:r>
                <w:r w:rsidR="009253D7" w:rsidRPr="009253D7">
                  <w:rPr>
                    <w:rFonts w:ascii="Times New Roman" w:eastAsia="Times New Roman" w:hAnsi="Times New Roman" w:cs="Mitra" w:hint="cs"/>
                    <w:b/>
                    <w:bCs/>
                    <w:sz w:val="20"/>
                    <w:szCs w:val="20"/>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71C42"/>
    <w:rsid w:val="00077C39"/>
    <w:rsid w:val="0008310A"/>
    <w:rsid w:val="00093912"/>
    <w:rsid w:val="00095669"/>
    <w:rsid w:val="00096F8D"/>
    <w:rsid w:val="000A388A"/>
    <w:rsid w:val="000B3A8A"/>
    <w:rsid w:val="000B6EA0"/>
    <w:rsid w:val="000E1E79"/>
    <w:rsid w:val="000E557B"/>
    <w:rsid w:val="000F0848"/>
    <w:rsid w:val="000F1142"/>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D2622"/>
    <w:rsid w:val="001D3FE5"/>
    <w:rsid w:val="001D418A"/>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D1BF0"/>
    <w:rsid w:val="003D6007"/>
    <w:rsid w:val="003E1D77"/>
    <w:rsid w:val="003E1EC4"/>
    <w:rsid w:val="003E24DD"/>
    <w:rsid w:val="003E33D2"/>
    <w:rsid w:val="003E7FD2"/>
    <w:rsid w:val="003F6593"/>
    <w:rsid w:val="003F79BD"/>
    <w:rsid w:val="00401556"/>
    <w:rsid w:val="00405965"/>
    <w:rsid w:val="00412F3C"/>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242F"/>
    <w:rsid w:val="004D3F45"/>
    <w:rsid w:val="004D4537"/>
    <w:rsid w:val="004E0E35"/>
    <w:rsid w:val="004E38A4"/>
    <w:rsid w:val="004F264D"/>
    <w:rsid w:val="004F5672"/>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249F"/>
    <w:rsid w:val="005738FA"/>
    <w:rsid w:val="00577277"/>
    <w:rsid w:val="0058608A"/>
    <w:rsid w:val="00590C02"/>
    <w:rsid w:val="005939C1"/>
    <w:rsid w:val="0059470C"/>
    <w:rsid w:val="0059614D"/>
    <w:rsid w:val="005974B7"/>
    <w:rsid w:val="005A024E"/>
    <w:rsid w:val="005A42A8"/>
    <w:rsid w:val="005D0A7E"/>
    <w:rsid w:val="005D2A2B"/>
    <w:rsid w:val="005D3562"/>
    <w:rsid w:val="005E3FBD"/>
    <w:rsid w:val="005F07F3"/>
    <w:rsid w:val="005F4C1F"/>
    <w:rsid w:val="005F726D"/>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C4A99"/>
    <w:rsid w:val="006D0314"/>
    <w:rsid w:val="006E2836"/>
    <w:rsid w:val="006F4A45"/>
    <w:rsid w:val="006F5D9E"/>
    <w:rsid w:val="007046B8"/>
    <w:rsid w:val="0070607C"/>
    <w:rsid w:val="00710530"/>
    <w:rsid w:val="0071538B"/>
    <w:rsid w:val="007170AF"/>
    <w:rsid w:val="00717860"/>
    <w:rsid w:val="00717986"/>
    <w:rsid w:val="007268AD"/>
    <w:rsid w:val="00727165"/>
    <w:rsid w:val="00736C1E"/>
    <w:rsid w:val="00737700"/>
    <w:rsid w:val="00740731"/>
    <w:rsid w:val="0076692C"/>
    <w:rsid w:val="00783624"/>
    <w:rsid w:val="007A2F40"/>
    <w:rsid w:val="007B39E1"/>
    <w:rsid w:val="007C4594"/>
    <w:rsid w:val="007C62C9"/>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36FD"/>
    <w:rsid w:val="008A6174"/>
    <w:rsid w:val="008A7CC2"/>
    <w:rsid w:val="008B429B"/>
    <w:rsid w:val="008C03B7"/>
    <w:rsid w:val="008C0F8F"/>
    <w:rsid w:val="008D41AC"/>
    <w:rsid w:val="008E1D43"/>
    <w:rsid w:val="008E1FA1"/>
    <w:rsid w:val="008E25F3"/>
    <w:rsid w:val="008E32DD"/>
    <w:rsid w:val="0090151F"/>
    <w:rsid w:val="00901C2D"/>
    <w:rsid w:val="009253D7"/>
    <w:rsid w:val="00926C52"/>
    <w:rsid w:val="009357D3"/>
    <w:rsid w:val="00941FEE"/>
    <w:rsid w:val="00943639"/>
    <w:rsid w:val="0094728A"/>
    <w:rsid w:val="00950831"/>
    <w:rsid w:val="00951CEA"/>
    <w:rsid w:val="00965DA1"/>
    <w:rsid w:val="00967E06"/>
    <w:rsid w:val="00973EEF"/>
    <w:rsid w:val="009871BB"/>
    <w:rsid w:val="0099052B"/>
    <w:rsid w:val="009947C3"/>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45A6"/>
    <w:rsid w:val="00A72E4D"/>
    <w:rsid w:val="00A73DA3"/>
    <w:rsid w:val="00A76B5E"/>
    <w:rsid w:val="00A76C36"/>
    <w:rsid w:val="00A83043"/>
    <w:rsid w:val="00A90D79"/>
    <w:rsid w:val="00A90FD9"/>
    <w:rsid w:val="00A92533"/>
    <w:rsid w:val="00A9283B"/>
    <w:rsid w:val="00A939BE"/>
    <w:rsid w:val="00A94FAD"/>
    <w:rsid w:val="00AA3A35"/>
    <w:rsid w:val="00AA415A"/>
    <w:rsid w:val="00AB080E"/>
    <w:rsid w:val="00AB383D"/>
    <w:rsid w:val="00AB5917"/>
    <w:rsid w:val="00AC06E8"/>
    <w:rsid w:val="00AD79BA"/>
    <w:rsid w:val="00AE36AB"/>
    <w:rsid w:val="00AE59A6"/>
    <w:rsid w:val="00AE70B3"/>
    <w:rsid w:val="00AE73FE"/>
    <w:rsid w:val="00AF7A91"/>
    <w:rsid w:val="00B001BA"/>
    <w:rsid w:val="00B005CD"/>
    <w:rsid w:val="00B057DE"/>
    <w:rsid w:val="00B07930"/>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B59F0"/>
    <w:rsid w:val="00BC0BBF"/>
    <w:rsid w:val="00BC1449"/>
    <w:rsid w:val="00BC69EB"/>
    <w:rsid w:val="00BD209D"/>
    <w:rsid w:val="00BD2BA0"/>
    <w:rsid w:val="00BD65BA"/>
    <w:rsid w:val="00BE5ADA"/>
    <w:rsid w:val="00BE5C8F"/>
    <w:rsid w:val="00BE715C"/>
    <w:rsid w:val="00BF0401"/>
    <w:rsid w:val="00BF18A7"/>
    <w:rsid w:val="00BF56A7"/>
    <w:rsid w:val="00BF77C7"/>
    <w:rsid w:val="00C04A73"/>
    <w:rsid w:val="00C06924"/>
    <w:rsid w:val="00C07A64"/>
    <w:rsid w:val="00C12999"/>
    <w:rsid w:val="00C131D4"/>
    <w:rsid w:val="00C22211"/>
    <w:rsid w:val="00C32689"/>
    <w:rsid w:val="00C36E33"/>
    <w:rsid w:val="00C40D7E"/>
    <w:rsid w:val="00C47AEE"/>
    <w:rsid w:val="00C555E8"/>
    <w:rsid w:val="00C60ACA"/>
    <w:rsid w:val="00C61383"/>
    <w:rsid w:val="00C662ED"/>
    <w:rsid w:val="00C72293"/>
    <w:rsid w:val="00C748EE"/>
    <w:rsid w:val="00C81516"/>
    <w:rsid w:val="00C81A41"/>
    <w:rsid w:val="00C84864"/>
    <w:rsid w:val="00C87928"/>
    <w:rsid w:val="00C924E1"/>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185E"/>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39D1"/>
    <w:rsid w:val="00DC6F4B"/>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EE69B2"/>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46537728">
      <w:bodyDiv w:val="1"/>
      <w:marLeft w:val="0"/>
      <w:marRight w:val="0"/>
      <w:marTop w:val="0"/>
      <w:marBottom w:val="0"/>
      <w:divBdr>
        <w:top w:val="none" w:sz="0" w:space="0" w:color="auto"/>
        <w:left w:val="none" w:sz="0" w:space="0" w:color="auto"/>
        <w:bottom w:val="none" w:sz="0" w:space="0" w:color="auto"/>
        <w:right w:val="none" w:sz="0" w:space="0" w:color="auto"/>
      </w:divBdr>
    </w:div>
    <w:div w:id="320889666">
      <w:bodyDiv w:val="1"/>
      <w:marLeft w:val="0"/>
      <w:marRight w:val="0"/>
      <w:marTop w:val="0"/>
      <w:marBottom w:val="0"/>
      <w:divBdr>
        <w:top w:val="none" w:sz="0" w:space="0" w:color="auto"/>
        <w:left w:val="none" w:sz="0" w:space="0" w:color="auto"/>
        <w:bottom w:val="none" w:sz="0" w:space="0" w:color="auto"/>
        <w:right w:val="none" w:sz="0" w:space="0" w:color="auto"/>
      </w:divBdr>
    </w:div>
    <w:div w:id="130346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OMRANI, Abbas</cp:lastModifiedBy>
  <cp:revision>2</cp:revision>
  <cp:lastPrinted>2018-12-17T06:38:00Z</cp:lastPrinted>
  <dcterms:created xsi:type="dcterms:W3CDTF">2019-04-23T10:14:00Z</dcterms:created>
  <dcterms:modified xsi:type="dcterms:W3CDTF">2019-04-23T10:14:00Z</dcterms:modified>
</cp:coreProperties>
</file>