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6C4C5A" w:rsidRDefault="00972349" w:rsidP="004E7DCE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6C4C5A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6C4C5A">
              <w:rPr>
                <w:rFonts w:hint="cs"/>
                <w:rtl/>
              </w:rPr>
              <w:t xml:space="preserve">                    </w:t>
            </w:r>
            <w:r w:rsidRPr="006C4C5A">
              <w:rPr>
                <w:rFonts w:hint="cs"/>
                <w:rtl/>
              </w:rPr>
              <w:t xml:space="preserve">  </w:t>
            </w:r>
            <w:r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4E7DCE" w:rsidRPr="006C4C5A">
              <w:rPr>
                <w:rFonts w:cs="Titr"/>
                <w:b/>
                <w:bCs/>
                <w:sz w:val="22"/>
                <w:szCs w:val="22"/>
                <w:u w:val="single"/>
              </w:rPr>
              <w:t>824</w:t>
            </w:r>
            <w:r w:rsidR="000D1700"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4E7DCE" w:rsidRPr="006C4C5A">
              <w:rPr>
                <w:rFonts w:cs="Titr"/>
                <w:b/>
                <w:bCs/>
                <w:sz w:val="22"/>
                <w:szCs w:val="22"/>
                <w:u w:val="single"/>
              </w:rPr>
              <w:t>97</w:t>
            </w:r>
            <w:r w:rsidR="000D1700" w:rsidRPr="006C4C5A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6C4C5A" w:rsidRDefault="002836AC" w:rsidP="004E7DCE">
            <w:pPr>
              <w:bidi/>
              <w:ind w:left="279"/>
              <w:jc w:val="center"/>
              <w:rPr>
                <w:rFonts w:cs="Yagut"/>
                <w:sz w:val="28"/>
                <w:szCs w:val="28"/>
              </w:rPr>
            </w:pPr>
            <w:r w:rsidRPr="006C4C5A">
              <w:rPr>
                <w:rFonts w:cs="Titr" w:hint="cs"/>
                <w:sz w:val="28"/>
                <w:szCs w:val="28"/>
                <w:rtl/>
              </w:rPr>
              <w:t xml:space="preserve">               </w:t>
            </w:r>
            <w:r w:rsidR="00972349" w:rsidRPr="006C4C5A">
              <w:rPr>
                <w:rFonts w:cs="Titr" w:hint="cs"/>
                <w:sz w:val="28"/>
                <w:szCs w:val="28"/>
                <w:rtl/>
              </w:rPr>
              <w:t>موضوع :</w:t>
            </w:r>
            <w:r w:rsidR="00A35E80" w:rsidRPr="006C4C5A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="004E7DCE" w:rsidRPr="006C4C5A">
              <w:rPr>
                <w:rFonts w:cs="Titr" w:hint="cs"/>
                <w:sz w:val="28"/>
                <w:szCs w:val="28"/>
                <w:rtl/>
              </w:rPr>
              <w:t>تهيه تجهيزات و اجراي شبكه آب آتشنشاني انبارهاي متمركز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242986" w:rsidRDefault="00E33DA6" w:rsidP="006C4C5A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6C4C5A">
              <w:rPr>
                <w:rFonts w:cs="Mitra" w:hint="cs"/>
                <w:b/>
                <w:bCs/>
                <w:rtl/>
              </w:rPr>
              <w:t xml:space="preserve">ـ </w:t>
            </w:r>
            <w:r w:rsidRPr="00204DDD">
              <w:rPr>
                <w:rFonts w:cs="Mitra" w:hint="cs"/>
                <w:b/>
                <w:bCs/>
                <w:rtl/>
              </w:rPr>
              <w:t>عسلويه</w:t>
            </w:r>
            <w:r w:rsidR="006C4C5A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6C4C5A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6C4C5A">
              <w:rPr>
                <w:rFonts w:cs="Mitra" w:hint="cs"/>
                <w:b/>
                <w:bCs/>
                <w:rtl/>
              </w:rPr>
              <w:t xml:space="preserve"> ـ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0B6D93" w:rsidRPr="00204DDD">
              <w:rPr>
                <w:rFonts w:cs="Mitra" w:hint="cs"/>
                <w:b/>
                <w:bCs/>
                <w:rtl/>
              </w:rPr>
              <w:t>ساختمان اداري مركزي ستاد</w:t>
            </w:r>
            <w:r w:rsidR="006C4C5A">
              <w:rPr>
                <w:rFonts w:cs="Mitra" w:hint="cs"/>
                <w:b/>
                <w:bCs/>
                <w:rtl/>
              </w:rPr>
              <w:t xml:space="preserve"> 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6C4C5A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252C97" w:rsidRPr="00204DDD">
              <w:rPr>
                <w:rFonts w:cs="Mitra" w:hint="cs"/>
                <w:b/>
                <w:bCs/>
                <w:rtl/>
              </w:rPr>
              <w:t>2/101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6C4C5A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امور پيمان</w:t>
            </w:r>
            <w:r w:rsidR="006C4C5A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ها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21501E" w:rsidP="004E7DCE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4E7DC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B750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CF3BC8" w:rsidP="004E7DCE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4E7DC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CF3BC8" w:rsidP="00CF3BC8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CF3BC8" w:rsidP="00CF3BC8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E914DE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مبلغ تضمين شركت در فرايند ارجاع كار (به عدد) </w:t>
            </w:r>
            <w:r w:rsidRPr="005D4169">
              <w:rPr>
                <w:rFonts w:cs="Mitra" w:hint="cs"/>
                <w:b/>
                <w:bCs/>
                <w:rtl/>
              </w:rPr>
              <w:t>000/000/</w:t>
            </w:r>
            <w:r w:rsidR="00E914DE" w:rsidRPr="006C4C5A">
              <w:rPr>
                <w:rFonts w:cs="B Mitra" w:hint="cs"/>
                <w:b/>
                <w:bCs/>
                <w:rtl/>
              </w:rPr>
              <w:t>5</w:t>
            </w:r>
            <w:r w:rsidR="00E914DE">
              <w:rPr>
                <w:rFonts w:cs="Mitra" w:hint="cs"/>
                <w:b/>
                <w:bCs/>
                <w:rtl/>
              </w:rPr>
              <w:t>88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6C4C5A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E9" w:rsidRDefault="009A2FE9">
      <w:r>
        <w:separator/>
      </w:r>
    </w:p>
  </w:endnote>
  <w:endnote w:type="continuationSeparator" w:id="1">
    <w:p w:rsidR="009A2FE9" w:rsidRDefault="009A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4A512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4A512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E9" w:rsidRDefault="009A2FE9">
      <w:r>
        <w:separator/>
      </w:r>
    </w:p>
  </w:footnote>
  <w:footnote w:type="continuationSeparator" w:id="1">
    <w:p w:rsidR="009A2FE9" w:rsidRDefault="009A2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77BC1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01E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03BA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0333"/>
    <w:rsid w:val="00497763"/>
    <w:rsid w:val="004A4ABF"/>
    <w:rsid w:val="004A5121"/>
    <w:rsid w:val="004A6393"/>
    <w:rsid w:val="004A7CD5"/>
    <w:rsid w:val="004D76A0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62"/>
    <w:rsid w:val="006C08B6"/>
    <w:rsid w:val="006C1C43"/>
    <w:rsid w:val="006C4C5A"/>
    <w:rsid w:val="006D1C15"/>
    <w:rsid w:val="006D6149"/>
    <w:rsid w:val="006F32D5"/>
    <w:rsid w:val="006F6D99"/>
    <w:rsid w:val="007027E2"/>
    <w:rsid w:val="0070359C"/>
    <w:rsid w:val="007158A1"/>
    <w:rsid w:val="00722926"/>
    <w:rsid w:val="007404C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0F73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7452"/>
    <w:rsid w:val="00884320"/>
    <w:rsid w:val="008871F8"/>
    <w:rsid w:val="008909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A2FE9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3BC8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26DF7"/>
    <w:rsid w:val="00E31D47"/>
    <w:rsid w:val="00E33DA6"/>
    <w:rsid w:val="00E37397"/>
    <w:rsid w:val="00E413B9"/>
    <w:rsid w:val="00E74D36"/>
    <w:rsid w:val="00E828B9"/>
    <w:rsid w:val="00E86F28"/>
    <w:rsid w:val="00E911AC"/>
    <w:rsid w:val="00E914DE"/>
    <w:rsid w:val="00E92D95"/>
    <w:rsid w:val="00E972B5"/>
    <w:rsid w:val="00EA11CB"/>
    <w:rsid w:val="00EB1A1B"/>
    <w:rsid w:val="00EB3746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1173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34</cp:revision>
  <dcterms:created xsi:type="dcterms:W3CDTF">2013-09-08T06:14:00Z</dcterms:created>
  <dcterms:modified xsi:type="dcterms:W3CDTF">2018-12-10T07:01:00Z</dcterms:modified>
</cp:coreProperties>
</file>