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3C1652" w:rsidP="00037100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5245260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9F6BC2">
        <w:rPr>
          <w:rFonts w:cs="Titr" w:hint="cs"/>
          <w:u w:val="single"/>
          <w:rtl/>
          <w:lang w:bidi="fa-IR"/>
        </w:rPr>
        <w:t>80</w:t>
      </w:r>
      <w:r w:rsidR="00037100">
        <w:rPr>
          <w:rFonts w:cs="Titr" w:hint="cs"/>
          <w:u w:val="single"/>
          <w:rtl/>
          <w:lang w:bidi="fa-IR"/>
        </w:rPr>
        <w:t>6</w:t>
      </w:r>
      <w:r w:rsidR="00635032">
        <w:rPr>
          <w:rFonts w:cs="Titr" w:hint="cs"/>
          <w:u w:val="single"/>
          <w:rtl/>
          <w:lang w:bidi="fa-IR"/>
        </w:rPr>
        <w:t>/</w:t>
      </w:r>
      <w:r w:rsidR="009F6BC2">
        <w:rPr>
          <w:rFonts w:cs="Titr" w:hint="cs"/>
          <w:u w:val="single"/>
          <w:rtl/>
          <w:lang w:bidi="fa-IR"/>
        </w:rPr>
        <w:t>97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F6BC2" w:rsidRDefault="009F6BC2" w:rsidP="009F6BC2">
            <w:pPr>
              <w:jc w:val="center"/>
              <w:rPr>
                <w:rFonts w:cs="Titr"/>
                <w:b/>
                <w:bCs/>
                <w:rtl/>
              </w:rPr>
            </w:pPr>
            <w:r w:rsidRPr="009F6BC2">
              <w:rPr>
                <w:rFonts w:cs="Titr" w:hint="cs"/>
                <w:b/>
                <w:bCs/>
                <w:rtl/>
              </w:rPr>
              <w:t>انجام خدمات تنظيفات محوطه، حفظ و نگهداري فضاي سبز كمپ‌ها و ستاد</w:t>
            </w:r>
          </w:p>
          <w:p w:rsidR="00746DEA" w:rsidRPr="009F6BC2" w:rsidRDefault="009F6BC2" w:rsidP="009F6BC2">
            <w:pPr>
              <w:jc w:val="center"/>
              <w:rPr>
                <w:rFonts w:cs="Titr"/>
                <w:sz w:val="30"/>
                <w:szCs w:val="30"/>
                <w:lang w:bidi="fa-IR"/>
              </w:rPr>
            </w:pPr>
            <w:r w:rsidRPr="009F6BC2">
              <w:rPr>
                <w:rFonts w:cs="Titr" w:hint="cs"/>
                <w:b/>
                <w:bCs/>
                <w:rtl/>
              </w:rPr>
              <w:t xml:space="preserve"> شركت مجتمع گاز پارس جنوبي      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9F6BC2" w:rsidP="00037100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</w:t>
            </w:r>
            <w:r w:rsidR="00037100">
              <w:rPr>
                <w:rFonts w:ascii="Arial" w:hAnsi="Arial" w:cs="Titr" w:hint="cs"/>
                <w:rtl/>
                <w:lang w:bidi="fa-IR"/>
              </w:rPr>
              <w:t>6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rtl/>
                <w:lang w:bidi="fa-IR"/>
              </w:rPr>
              <w:t>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4243C9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81036">
        <w:trPr>
          <w:trHeight w:val="442"/>
        </w:trPr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381036" w:rsidRDefault="00376BB9" w:rsidP="00376BB9">
            <w:pPr>
              <w:bidi/>
              <w:jc w:val="center"/>
              <w:rPr>
                <w:rFonts w:cs="Titr"/>
              </w:rPr>
            </w:pPr>
            <w:r>
              <w:rPr>
                <w:rFonts w:cs="Titr" w:hint="cs"/>
                <w:rtl/>
              </w:rPr>
              <w:t>328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098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214</w:t>
            </w:r>
            <w:r w:rsidR="00381036" w:rsidRPr="00381036">
              <w:rPr>
                <w:rFonts w:cs="Titr" w:hint="cs"/>
                <w:rtl/>
              </w:rPr>
              <w:t>/</w:t>
            </w:r>
            <w:r>
              <w:rPr>
                <w:rFonts w:cs="Titr" w:hint="cs"/>
                <w:rtl/>
              </w:rPr>
              <w:t>144</w:t>
            </w:r>
            <w:r w:rsidR="00381036" w:rsidRPr="00381036">
              <w:rPr>
                <w:rFonts w:cs="Titr" w:hint="cs"/>
                <w:rtl/>
              </w:rPr>
              <w:t xml:space="preserve"> </w:t>
            </w:r>
            <w:r w:rsidR="00FE0D9B" w:rsidRPr="00381036">
              <w:rPr>
                <w:rFonts w:cs="Titr" w:hint="cs"/>
                <w:rtl/>
              </w:rPr>
              <w:t xml:space="preserve"> </w:t>
            </w:r>
            <w:r w:rsidR="00744870" w:rsidRPr="00381036">
              <w:rPr>
                <w:rFonts w:cs="Titr" w:hint="cs"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381036" w:rsidP="00376BB9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381036">
              <w:rPr>
                <w:rFonts w:cs="Titr" w:hint="cs"/>
                <w:b/>
                <w:bCs/>
                <w:rtl/>
              </w:rPr>
              <w:t>000/000/</w:t>
            </w:r>
            <w:r w:rsidR="00376BB9">
              <w:rPr>
                <w:rFonts w:cs="Titr" w:hint="cs"/>
                <w:b/>
                <w:bCs/>
                <w:rtl/>
              </w:rPr>
              <w:t>385</w:t>
            </w:r>
            <w:r w:rsidRPr="00381036">
              <w:rPr>
                <w:rFonts w:cs="Titr" w:hint="cs"/>
                <w:b/>
                <w:bCs/>
                <w:rtl/>
              </w:rPr>
              <w:t>/</w:t>
            </w:r>
            <w:r w:rsidR="009F6BC2">
              <w:rPr>
                <w:rFonts w:cs="Titr" w:hint="cs"/>
                <w:b/>
                <w:bCs/>
                <w:rtl/>
              </w:rPr>
              <w:t>4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 w:rsidR="00744870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9F6BC2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13BF8" w:rsidRPr="00513BF8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%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376BB9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حداكثر تا ساعت 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 صبح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روز </w:t>
            </w:r>
            <w:r w:rsidR="00376BB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دو</w:t>
            </w:r>
            <w:r w:rsidR="00B33B15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  <w:r w:rsidR="0060740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76BB9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05</w:t>
            </w:r>
            <w:r w:rsidR="00893B31" w:rsidRPr="00B33B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376BB9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06</w:t>
            </w:r>
            <w:r w:rsidR="00893B31" w:rsidRPr="00B33B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9F6BC2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F6BC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9F6BC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شصت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D441BE" w:rsidRDefault="004A18E7" w:rsidP="009F6BC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 تاييد صلاحيت معتبر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lang w:bidi="fa-IR"/>
        </w:rPr>
        <w:t xml:space="preserve">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و داراي اعتبار زماني در رشته </w:t>
      </w:r>
      <w:r w:rsidR="009F6BC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خدمات عمومي و نگهداري و خدمات فضاي سبز</w:t>
      </w:r>
      <w:r w:rsidR="00744870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از </w:t>
      </w:r>
      <w:r w:rsidR="00FE0D9B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اداره كل تعاون، كار و رفاه اجتماعي الزاميست</w:t>
      </w:r>
      <w:r w:rsidR="0080769E" w:rsidRPr="00BF335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.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مالي حسابرسي شده (حسابرسي شده توسط سازمان حسابرسي يا اعضاي جامعه حسابداران رسمي) در زمان انعقاد قرارداد الزامي است.  </w:t>
      </w:r>
    </w:p>
    <w:p w:rsidR="002B68D1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B33B15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B33B1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B33B15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B33B15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B33B15" w:rsidP="00130F3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="001C04A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اخذ 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</w:t>
      </w:r>
      <w:r w:rsidR="00130F34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اقتصادي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انرژي پارس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</w:t>
      </w:r>
      <w:r w:rsidR="004D35D4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مختص اين مناقصه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اقدام و مجوز مربوطه را تا قبل از تحويل پاكت پيشنهاد قيمت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9D68DB" w:rsidRDefault="00B33B15" w:rsidP="0022461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135371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(به همراه پاكات پيشنهاد قيمت)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130F34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130F34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37100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9F1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537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76BB9"/>
    <w:rsid w:val="00381036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1652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43C9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0FEA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0740F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592C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936BC"/>
    <w:rsid w:val="00893B31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1977"/>
    <w:rsid w:val="009F4694"/>
    <w:rsid w:val="009F55B4"/>
    <w:rsid w:val="009F6BC2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4DA5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1ED2"/>
    <w:rsid w:val="00B247E6"/>
    <w:rsid w:val="00B255C5"/>
    <w:rsid w:val="00B25718"/>
    <w:rsid w:val="00B32062"/>
    <w:rsid w:val="00B33B15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A567F"/>
    <w:rsid w:val="00EB1CDC"/>
    <w:rsid w:val="00EB77A3"/>
    <w:rsid w:val="00EC03D9"/>
    <w:rsid w:val="00EC103D"/>
    <w:rsid w:val="00EC41A6"/>
    <w:rsid w:val="00ED0E5E"/>
    <w:rsid w:val="00ED0E7F"/>
    <w:rsid w:val="00ED4D32"/>
    <w:rsid w:val="00ED653A"/>
    <w:rsid w:val="00ED6A13"/>
    <w:rsid w:val="00EE4F6B"/>
    <w:rsid w:val="00EE5D9C"/>
    <w:rsid w:val="00EF745C"/>
    <w:rsid w:val="00F01F0E"/>
    <w:rsid w:val="00F02CEA"/>
    <w:rsid w:val="00F03237"/>
    <w:rsid w:val="00F13AC5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54F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5309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589248</cp:lastModifiedBy>
  <cp:revision>14</cp:revision>
  <cp:lastPrinted>2010-03-09T05:02:00Z</cp:lastPrinted>
  <dcterms:created xsi:type="dcterms:W3CDTF">2018-02-17T11:05:00Z</dcterms:created>
  <dcterms:modified xsi:type="dcterms:W3CDTF">2018-08-08T10:25:00Z</dcterms:modified>
</cp:coreProperties>
</file>