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E3D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CF0E6F" w:rsidRPr="0012148A" w:rsidRDefault="00CF0E6F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521B83" w:rsidRDefault="00A6495F" w:rsidP="004279DF">
      <w:pPr>
        <w:bidi/>
        <w:spacing w:after="120"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آگهي </w:t>
      </w:r>
      <w:r w:rsidR="0082451B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فراخوان </w:t>
      </w:r>
      <w:r w:rsidR="00475C2E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ارزيابي كيفي </w:t>
      </w:r>
      <w:r w:rsidR="009076EA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مناقصه 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شماره </w:t>
      </w:r>
      <w:r w:rsidR="004279DF">
        <w:rPr>
          <w:rFonts w:cs="Titr" w:hint="cs"/>
          <w:sz w:val="18"/>
          <w:szCs w:val="18"/>
          <w:u w:val="single"/>
          <w:rtl/>
          <w:lang w:bidi="fa-IR"/>
        </w:rPr>
        <w:t>786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>/</w:t>
      </w:r>
      <w:r w:rsidR="004279DF">
        <w:rPr>
          <w:rFonts w:cs="Titr" w:hint="cs"/>
          <w:sz w:val="18"/>
          <w:szCs w:val="18"/>
          <w:u w:val="single"/>
          <w:rtl/>
          <w:lang w:bidi="fa-IR"/>
        </w:rPr>
        <w:t>96</w:t>
      </w:r>
    </w:p>
    <w:p w:rsidR="00B07755" w:rsidRPr="009573BF" w:rsidRDefault="00A6495F" w:rsidP="00257590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>دارد مناقصه</w:t>
      </w:r>
      <w:r w:rsidR="004279DF" w:rsidRPr="004279D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257590" w:rsidRPr="003E1911">
        <w:rPr>
          <w:rFonts w:cs="Titr" w:hint="cs"/>
          <w:sz w:val="22"/>
          <w:szCs w:val="22"/>
          <w:rtl/>
        </w:rPr>
        <w:t>تجهيز و راه اندازي سالن همايش ساختمان اداري مركزي</w:t>
      </w:r>
      <w:r w:rsidR="00257590" w:rsidRPr="00BB57F3">
        <w:rPr>
          <w:rFonts w:cs="Titr" w:hint="cs"/>
          <w:sz w:val="22"/>
          <w:szCs w:val="22"/>
          <w:rtl/>
        </w:rPr>
        <w:t xml:space="preserve"> شركت مجتمع گاز پارس جنوبي</w:t>
      </w:r>
      <w:r w:rsidR="00DA24DB" w:rsidRPr="00DA24D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را پس از طي فر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ا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ارزيابي كيفي و تاييد صلاحيت متقاضيان به پيمانكار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عمل مي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مايل به شركت در 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مفاد </w:t>
      </w:r>
      <w:r w:rsidR="00D813E3" w:rsidRPr="003272CE">
        <w:rPr>
          <w:rFonts w:cs="Mitra"/>
          <w:color w:val="000000"/>
          <w:sz w:val="26"/>
          <w:szCs w:val="26"/>
          <w:rtl/>
          <w:lang w:bidi="fa-IR"/>
        </w:rPr>
        <w:t xml:space="preserve">ابلاغ مصوبه </w:t>
      </w:r>
      <w:r w:rsidR="00D813E3">
        <w:rPr>
          <w:rFonts w:cs="Mitra" w:hint="cs"/>
          <w:color w:val="000000"/>
          <w:sz w:val="26"/>
          <w:szCs w:val="26"/>
          <w:rtl/>
          <w:lang w:bidi="fa-IR"/>
        </w:rPr>
        <w:t>هيئت مديره</w:t>
      </w:r>
      <w:r w:rsidR="00D813E3" w:rsidRPr="003272CE">
        <w:rPr>
          <w:rFonts w:cs="Mitra"/>
          <w:color w:val="000000"/>
          <w:sz w:val="26"/>
          <w:szCs w:val="26"/>
          <w:rtl/>
          <w:lang w:bidi="fa-IR"/>
        </w:rPr>
        <w:t xml:space="preserve"> اين </w:t>
      </w:r>
      <w:r w:rsidR="00D813E3" w:rsidRPr="00012A7F">
        <w:rPr>
          <w:rFonts w:cs="Yagut"/>
          <w:color w:val="000000"/>
          <w:sz w:val="22"/>
          <w:szCs w:val="22"/>
          <w:rtl/>
          <w:lang w:bidi="fa-IR"/>
        </w:rPr>
        <w:t>مجتمع ب</w:t>
      </w:r>
      <w:r w:rsidR="00D813E3">
        <w:rPr>
          <w:rFonts w:cs="Yagut" w:hint="cs"/>
          <w:color w:val="000000"/>
          <w:sz w:val="22"/>
          <w:szCs w:val="22"/>
          <w:rtl/>
          <w:lang w:bidi="fa-IR"/>
        </w:rPr>
        <w:t xml:space="preserve">ه </w:t>
      </w:r>
      <w:r w:rsidR="00D813E3" w:rsidRPr="00012A7F">
        <w:rPr>
          <w:rFonts w:cs="Yagut"/>
          <w:color w:val="000000"/>
          <w:sz w:val="22"/>
          <w:szCs w:val="22"/>
          <w:rtl/>
          <w:lang w:bidi="fa-IR"/>
        </w:rPr>
        <w:t>شماره</w:t>
      </w:r>
      <w:r w:rsidR="00D813E3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 </w:t>
      </w:r>
      <w:r w:rsidR="00D813E3">
        <w:rPr>
          <w:rFonts w:cs="Yagut" w:hint="cs"/>
          <w:color w:val="000000"/>
          <w:sz w:val="22"/>
          <w:szCs w:val="22"/>
          <w:rtl/>
          <w:lang w:bidi="fa-IR"/>
        </w:rPr>
        <w:t>گ24</w:t>
      </w:r>
      <w:r w:rsidR="00D813E3" w:rsidRPr="00012A7F">
        <w:rPr>
          <w:rFonts w:cs="Yagut"/>
          <w:color w:val="000000"/>
          <w:sz w:val="22"/>
          <w:szCs w:val="22"/>
          <w:rtl/>
          <w:lang w:bidi="fa-IR"/>
        </w:rPr>
        <w:t>/</w:t>
      </w:r>
      <w:r w:rsidR="00D813E3">
        <w:rPr>
          <w:rFonts w:cs="Yagut" w:hint="cs"/>
          <w:color w:val="000000"/>
          <w:sz w:val="22"/>
          <w:szCs w:val="22"/>
          <w:rtl/>
          <w:lang w:bidi="fa-IR"/>
        </w:rPr>
        <w:t>001</w:t>
      </w:r>
      <w:r w:rsidR="00D813E3" w:rsidRPr="00012A7F">
        <w:rPr>
          <w:rFonts w:cs="Yagut"/>
          <w:color w:val="000000"/>
          <w:sz w:val="22"/>
          <w:szCs w:val="22"/>
          <w:rtl/>
          <w:lang w:bidi="fa-IR"/>
        </w:rPr>
        <w:t>/</w:t>
      </w:r>
      <w:r w:rsidR="00D813E3">
        <w:rPr>
          <w:rFonts w:cs="Yagut" w:hint="cs"/>
          <w:color w:val="000000"/>
          <w:sz w:val="22"/>
          <w:szCs w:val="22"/>
          <w:rtl/>
          <w:lang w:bidi="fa-IR"/>
        </w:rPr>
        <w:t>486</w:t>
      </w:r>
      <w:r w:rsidR="00D813E3" w:rsidRPr="00012A7F">
        <w:rPr>
          <w:rFonts w:cs="Yagut"/>
          <w:color w:val="000000"/>
          <w:sz w:val="22"/>
          <w:szCs w:val="22"/>
          <w:rtl/>
          <w:lang w:bidi="fa-IR"/>
        </w:rPr>
        <w:t xml:space="preserve"> مورخ </w:t>
      </w:r>
      <w:r w:rsidR="00D813E3">
        <w:rPr>
          <w:rFonts w:cs="Yagut" w:hint="cs"/>
          <w:color w:val="000000"/>
          <w:sz w:val="22"/>
          <w:szCs w:val="22"/>
          <w:rtl/>
          <w:lang w:bidi="fa-IR"/>
        </w:rPr>
        <w:t>28</w:t>
      </w:r>
      <w:r w:rsidR="00D813E3" w:rsidRPr="00012A7F">
        <w:rPr>
          <w:rFonts w:cs="Yagut"/>
          <w:color w:val="000000"/>
          <w:sz w:val="22"/>
          <w:szCs w:val="22"/>
          <w:rtl/>
          <w:lang w:bidi="fa-IR"/>
        </w:rPr>
        <w:t>/</w:t>
      </w:r>
      <w:r w:rsidR="00D813E3">
        <w:rPr>
          <w:rFonts w:cs="Yagut" w:hint="cs"/>
          <w:color w:val="000000"/>
          <w:sz w:val="22"/>
          <w:szCs w:val="22"/>
          <w:rtl/>
          <w:lang w:bidi="fa-IR"/>
        </w:rPr>
        <w:t>06</w:t>
      </w:r>
      <w:r w:rsidR="00D813E3" w:rsidRPr="00012A7F">
        <w:rPr>
          <w:rFonts w:cs="Yagut"/>
          <w:color w:val="000000"/>
          <w:sz w:val="22"/>
          <w:szCs w:val="22"/>
          <w:rtl/>
          <w:lang w:bidi="fa-IR"/>
        </w:rPr>
        <w:t>/13</w:t>
      </w:r>
      <w:r w:rsidR="00D813E3">
        <w:rPr>
          <w:rFonts w:cs="Yagut" w:hint="cs"/>
          <w:color w:val="000000"/>
          <w:sz w:val="22"/>
          <w:szCs w:val="22"/>
          <w:rtl/>
          <w:lang w:bidi="fa-IR"/>
        </w:rPr>
        <w:t>96</w:t>
      </w:r>
      <w:r w:rsidR="00D813E3" w:rsidRPr="00012A7F">
        <w:rPr>
          <w:rFonts w:cs="Yagut"/>
          <w:color w:val="000000"/>
          <w:sz w:val="22"/>
          <w:szCs w:val="22"/>
          <w:rtl/>
          <w:lang w:bidi="fa-IR"/>
        </w:rPr>
        <w:t xml:space="preserve"> و توضيحات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 xml:space="preserve"> ب</w:t>
      </w:r>
      <w:r w:rsidR="00257590">
        <w:rPr>
          <w:rFonts w:cs="Yagut" w:hint="cs"/>
          <w:color w:val="000000"/>
          <w:sz w:val="22"/>
          <w:szCs w:val="22"/>
          <w:rtl/>
          <w:lang w:bidi="fa-IR"/>
        </w:rPr>
        <w:t xml:space="preserve">ه 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شرح ذيل</w:t>
      </w:r>
      <w:r w:rsidR="009C5B76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، 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نسبت به اعلام آمادگي و شركت در مناقصه اقدام نمايند.</w:t>
      </w:r>
    </w:p>
    <w:p w:rsidR="00452F50" w:rsidRPr="00B07755" w:rsidRDefault="00452F50" w:rsidP="00257590">
      <w:pPr>
        <w:bidi/>
        <w:jc w:val="both"/>
        <w:rPr>
          <w:rFonts w:cs="Yagut"/>
          <w:color w:val="000000"/>
          <w:sz w:val="22"/>
          <w:szCs w:val="22"/>
          <w:rtl/>
          <w:lang w:bidi="fa-IR"/>
        </w:rPr>
      </w:pP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قابل ذكر است مناقصه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گراني كه در چند مناقصه مجتمع اعلام آمادگي مي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نمايند، چنانچه با برنده شدن در يكي از مناقصات، مشمول محدوديت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هاي مندرج در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مصوبه فوق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الذكر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گردند، ولو اينكه تاييد صلاحيت شده و پاكات پيشنهادي قيمت خود را در چند مناقصه تسليم نموده</w:t>
      </w:r>
      <w:r w:rsidR="006820EB">
        <w:rPr>
          <w:rFonts w:cs="Mitra" w:hint="cs"/>
          <w:color w:val="000000"/>
          <w:sz w:val="26"/>
          <w:szCs w:val="26"/>
          <w:rtl/>
          <w:lang w:bidi="fa-IR"/>
        </w:rPr>
        <w:t xml:space="preserve"> باشند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و پاكات پيشنهاد قيمت باز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گشا</w:t>
      </w:r>
      <w:r w:rsidR="0052611B">
        <w:rPr>
          <w:rFonts w:cs="Mitra" w:hint="cs"/>
          <w:color w:val="000000"/>
          <w:sz w:val="26"/>
          <w:szCs w:val="26"/>
          <w:rtl/>
          <w:lang w:bidi="fa-IR"/>
        </w:rPr>
        <w:t>ي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ي شده باشد، مناقصه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گزار مجاز خواهد بود نسبت به ابطال و يا عودت پيشنهاد قيمت مناقصه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در ساير مناقصات اقدام و يا هرگونه تصميم ديگري اتخاذ بنمايد و مناقصه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از اين بابت حق هر گونه اعتراضي را از خود سلب مي</w:t>
      </w:r>
      <w:r w:rsidR="00257590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نمايند.</w:t>
      </w:r>
    </w:p>
    <w:tbl>
      <w:tblPr>
        <w:bidiVisual/>
        <w:tblW w:w="102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89"/>
        <w:gridCol w:w="7371"/>
      </w:tblGrid>
      <w:tr w:rsidR="009076EA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316E71" w:rsidRDefault="00257590" w:rsidP="00CB202A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3E1911">
              <w:rPr>
                <w:rFonts w:cs="Titr" w:hint="cs"/>
                <w:sz w:val="22"/>
                <w:szCs w:val="22"/>
                <w:rtl/>
              </w:rPr>
              <w:t>تجهيز و راه اندازي سالن همايش ساختمان اداري مركزي</w:t>
            </w:r>
            <w:r w:rsidRPr="00BB57F3">
              <w:rPr>
                <w:rFonts w:cs="Titr" w:hint="cs"/>
                <w:sz w:val="22"/>
                <w:szCs w:val="22"/>
                <w:rtl/>
              </w:rPr>
              <w:t xml:space="preserve"> شركت مجتمع گاز پارس جنوبي</w:t>
            </w:r>
          </w:p>
        </w:tc>
      </w:tr>
      <w:tr w:rsidR="009076EA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EB06B3" w:rsidRDefault="004279DF" w:rsidP="004279DF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786</w:t>
            </w:r>
            <w:r w:rsidR="00D21541" w:rsidRPr="00EB06B3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96</w:t>
            </w:r>
          </w:p>
        </w:tc>
      </w:tr>
      <w:tr w:rsidR="0086089D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86089D" w:rsidRPr="00E82E1E" w:rsidRDefault="0086089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86089D" w:rsidRPr="00E82E1E" w:rsidRDefault="0071023D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9076EA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E82E1E" w:rsidRDefault="00F92709" w:rsidP="000909BB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D86F10" w:rsidRPr="004614D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ماه شمسي</w:t>
            </w:r>
          </w:p>
        </w:tc>
      </w:tr>
      <w:tr w:rsidR="0048339C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48339C" w:rsidRPr="00E82E1E" w:rsidRDefault="0048339C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مبلغ براورد  تقريبي انجام كار(ريال )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48339C" w:rsidRPr="00257590" w:rsidRDefault="00257590" w:rsidP="0034068A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به مبلغ </w:t>
            </w:r>
            <w:r w:rsidRPr="00257590">
              <w:rPr>
                <w:rFonts w:ascii="Arial" w:hAnsi="Arial" w:cs="Zar" w:hint="cs"/>
                <w:b/>
                <w:bCs/>
                <w:rtl/>
                <w:lang w:bidi="fa-IR"/>
              </w:rPr>
              <w:t>816/634/210/14</w:t>
            </w: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ريال</w:t>
            </w:r>
          </w:p>
        </w:tc>
      </w:tr>
      <w:tr w:rsidR="00871F40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871F40" w:rsidRPr="00E82E1E" w:rsidRDefault="00871F40" w:rsidP="00257590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مبلغ </w:t>
            </w:r>
            <w:r w:rsidR="00E22B4F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تضمين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شركت در</w:t>
            </w:r>
            <w:r w:rsidR="00257590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0909BB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فر</w:t>
            </w:r>
            <w:r w:rsidR="00257590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ا</w:t>
            </w:r>
            <w:r w:rsidR="000909BB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يند ارجاع كار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(ريال ) 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257590" w:rsidRDefault="004279DF" w:rsidP="004279DF">
            <w:pPr>
              <w:bidi/>
              <w:spacing w:line="276" w:lineRule="auto"/>
              <w:jc w:val="center"/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</w:pPr>
            <w:r w:rsidRPr="004279DF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به مبلغ </w:t>
            </w:r>
            <w:r w:rsidRPr="00257590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000/000/711</w:t>
            </w:r>
            <w:r w:rsidRPr="004279DF">
              <w:rPr>
                <w:rFonts w:ascii="Arial" w:hAnsi="Arial" w:cs="Za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4279DF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ريال به صورت يكي از تضامين قابل قبول وفق آئين‌نامه تضمين معاملات دولتي شماره 123402/ت50659هـ مورخ 22/09/94 هيأت وزيران</w:t>
            </w:r>
          </w:p>
          <w:p w:rsidR="00871F40" w:rsidRPr="00521B83" w:rsidRDefault="004279DF" w:rsidP="00257590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4279DF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(بعد از مراحل فرايند ارزيابي كيفي و در صورت </w:t>
            </w:r>
            <w:r w:rsidR="006D7CA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ارسال </w:t>
            </w:r>
            <w:r w:rsidRPr="004279DF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دعوتنامه براي</w:t>
            </w:r>
            <w:r w:rsidR="006D7CA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درخواست</w:t>
            </w:r>
            <w:r w:rsidRPr="004279DF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پيشنهاد مالي)</w:t>
            </w:r>
          </w:p>
        </w:tc>
      </w:tr>
      <w:tr w:rsidR="009076EA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521B83" w:rsidRDefault="001C198B" w:rsidP="00257590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عسلويه</w:t>
            </w:r>
            <w:r w:rsidR="00F823B1"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5759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ـ </w:t>
            </w:r>
            <w:r w:rsidR="004279D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ساختمان اداري مركزي ستاد مجتمع گاز پارس جنوبي</w:t>
            </w:r>
          </w:p>
        </w:tc>
      </w:tr>
      <w:tr w:rsidR="009076EA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9076EA" w:rsidRPr="00E82E1E" w:rsidRDefault="0033326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140A7B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تحويل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مدارك </w:t>
            </w:r>
            <w:r w:rsidR="000C09CE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(رزومه)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521B83" w:rsidRDefault="004641B3" w:rsidP="008A3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EA131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131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  <w:r w:rsidR="009D25FB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A326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="00A2514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8A326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08</w:t>
            </w:r>
            <w:r w:rsidR="00A2514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/96</w:t>
            </w:r>
          </w:p>
        </w:tc>
      </w:tr>
      <w:tr w:rsidR="00FB74E8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FB74E8" w:rsidRPr="006D7914" w:rsidRDefault="00FB74E8" w:rsidP="00E82E1E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روش ارزيابي و محاسبه امتيازات </w:t>
            </w:r>
            <w:r w:rsidR="00E82E1E"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معيارها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FB74E8" w:rsidRPr="006458F5" w:rsidRDefault="00CF0E6F" w:rsidP="00257590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1-تجربه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 حداكثر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45</w:t>
            </w:r>
            <w:r w:rsidRPr="00257590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2-حسن سابقه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حداكثر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25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257590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  <w:r w:rsidRPr="0025759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7590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-توان مالي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25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</w:t>
            </w:r>
            <w:r w:rsidRPr="00257590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  <w:r w:rsidRPr="00521B8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4- </w:t>
            </w:r>
            <w:r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B1C38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5 </w:t>
            </w:r>
            <w:r w:rsidRPr="0025759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 مطابق مواد 17-18-19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</w:t>
            </w:r>
            <w:r w:rsidR="0060478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="00785E5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موارد مندرج در</w:t>
            </w:r>
            <w:r w:rsidR="0060478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فرم استعلام ارزيابي كيفي)</w:t>
            </w:r>
          </w:p>
        </w:tc>
      </w:tr>
      <w:tr w:rsidR="0033326A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33326A" w:rsidRPr="00E82E1E" w:rsidRDefault="0033326A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آدرس پستي</w:t>
            </w:r>
            <w:r w:rsidR="00536E64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محل  تحويل رزومه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33326A" w:rsidRPr="00521B83" w:rsidRDefault="009216D2" w:rsidP="00020844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استان بوشهر، بندر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عسلويه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اقتصادي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انرژي پارس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پالايشگاه دوم 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مركزي ستاد، طبقه اول 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پيمانها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اق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</w:p>
        </w:tc>
      </w:tr>
      <w:tr w:rsidR="0033326A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33326A" w:rsidRPr="00E82E1E" w:rsidRDefault="0033326A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575C12" w:rsidRPr="00521B83" w:rsidRDefault="00575C12" w:rsidP="00FD45D9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 w:rsidR="00FD45D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31312752-077  </w:t>
            </w:r>
            <w:r w:rsidR="00722F3E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فكس : </w:t>
            </w:r>
            <w:r w:rsidR="00FD45D9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F41625" w:rsidRPr="00E82E1E" w:rsidTr="00137FBC">
        <w:trPr>
          <w:trHeight w:val="454"/>
        </w:trPr>
        <w:tc>
          <w:tcPr>
            <w:tcW w:w="2889" w:type="dxa"/>
            <w:shd w:val="clear" w:color="auto" w:fill="FFCC99"/>
            <w:vAlign w:val="center"/>
          </w:tcPr>
          <w:p w:rsidR="00F41625" w:rsidRPr="00E82E1E" w:rsidRDefault="00F41625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F41625" w:rsidRPr="00521B83" w:rsidRDefault="00FD45D9" w:rsidP="009216D2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275</w:t>
            </w:r>
            <w:r w:rsidR="009216D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D86F10"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275</w:t>
            </w:r>
            <w:r w:rsidR="00B87158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736583"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05E1C"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(داخلي )</w:t>
            </w:r>
          </w:p>
        </w:tc>
      </w:tr>
      <w:tr w:rsidR="00E82E1E" w:rsidRPr="00E82E1E" w:rsidTr="00137FBC">
        <w:tc>
          <w:tcPr>
            <w:tcW w:w="2889" w:type="dxa"/>
            <w:shd w:val="clear" w:color="auto" w:fill="FFCC99"/>
            <w:vAlign w:val="center"/>
          </w:tcPr>
          <w:p w:rsidR="00E82E1E" w:rsidRPr="00E82E1E" w:rsidRDefault="00E82E1E" w:rsidP="00E82E1E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اخذ تضمين پيش پرداخت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E82E1E" w:rsidRPr="00020844" w:rsidRDefault="009216D2" w:rsidP="00020844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 موضوع بندهاي (الف)، (پ)، (ث)، (ج)، (چ) و (ح) ماده 4</w:t>
            </w:r>
            <w:r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9F226C" w:rsidRPr="00E82E1E" w:rsidTr="002E0794">
        <w:trPr>
          <w:trHeight w:val="823"/>
        </w:trPr>
        <w:tc>
          <w:tcPr>
            <w:tcW w:w="2889" w:type="dxa"/>
            <w:shd w:val="clear" w:color="auto" w:fill="FFCC99"/>
            <w:vAlign w:val="center"/>
          </w:tcPr>
          <w:p w:rsidR="009F226C" w:rsidRPr="00E82E1E" w:rsidRDefault="009F226C" w:rsidP="00A7426C">
            <w:pPr>
              <w:bidi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ميزان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نحوه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واريز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پيمان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9F226C" w:rsidRPr="00E82E1E" w:rsidRDefault="009F226C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371" w:type="dxa"/>
            <w:shd w:val="clear" w:color="auto" w:fill="CCFFFF"/>
            <w:vAlign w:val="center"/>
          </w:tcPr>
          <w:p w:rsidR="009F226C" w:rsidRPr="00A7426C" w:rsidRDefault="0009113E" w:rsidP="00A7426C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براساس تصويب نامه هيئت وزيران به 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123402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/ ت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50659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هـ مورخ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94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ازاي دريافت تضمين بانكي معتبر معادل بيست درصد (20%) مبلغ اوليه پيمان در سه قسط. قسط اول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چهل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تحويل كارگاه، قسط دوم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تجهيز كارگاه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كه طبق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شرايط تعيين شده در اسناد ارجاع كار و قرارداد براي شروع عمليات لازم است و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انجام سي درصد مبلغ اوليه پيمان طبق صورت وضعيت هاي موقت بدون در نظر گرفتن مصالح پاي كار.پس از واريز اقساط اول و دوم پيش پرداخت،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هفتاد درصد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نسبت مبلغ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مبلغ ناخالص تمام صورت وضعيت هاي موقت (به استثناي تعديل، مابالتفاوت نرخ مصالح، و پرداخت هاي مشابه) كسر مي شود و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بعد از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واريز 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يكصد و چهارده درصد نسبت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صورت وضعيت ها كسر ميشود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به نحوي كه مبلغ پيش پرداخت تاآخرين صورت وضعيت موقت مستهلك گردد.</w:t>
            </w:r>
          </w:p>
        </w:tc>
      </w:tr>
    </w:tbl>
    <w:p w:rsidR="00C94680" w:rsidRPr="00137FBC" w:rsidRDefault="00C94680" w:rsidP="009F226C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lastRenderedPageBreak/>
        <w:t>ساير توضيحات مهم :</w:t>
      </w:r>
    </w:p>
    <w:p w:rsidR="00137FBC" w:rsidRPr="00D86F10" w:rsidRDefault="00137FBC" w:rsidP="00137FBC">
      <w:pPr>
        <w:bidi/>
        <w:jc w:val="both"/>
        <w:rPr>
          <w:rFonts w:cs="Titr"/>
          <w:sz w:val="20"/>
          <w:szCs w:val="20"/>
          <w:rtl/>
          <w:lang w:bidi="fa-IR"/>
        </w:rPr>
      </w:pPr>
    </w:p>
    <w:p w:rsidR="00C94680" w:rsidRPr="00137FBC" w:rsidRDefault="0022526D" w:rsidP="00257590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257590">
        <w:rPr>
          <w:rFonts w:cs="Yagut" w:hint="cs"/>
          <w:color w:val="000000"/>
          <w:rtl/>
          <w:lang w:bidi="fa-IR"/>
        </w:rPr>
        <w:t>‌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9F6740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257590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257590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884B13" w:rsidRPr="00137FBC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 xml:space="preserve">(بخش مناقصات)،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257590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>دقت مطالعه</w:t>
      </w:r>
      <w:r w:rsidR="00257590">
        <w:rPr>
          <w:rFonts w:cs="Yagut" w:hint="cs"/>
          <w:color w:val="000000"/>
          <w:rtl/>
          <w:lang w:bidi="fa-IR"/>
        </w:rPr>
        <w:t>‌</w:t>
      </w:r>
      <w:r w:rsidR="006C0BB8" w:rsidRPr="00137FBC">
        <w:rPr>
          <w:rFonts w:cs="Yagut" w:hint="cs"/>
          <w:color w:val="000000"/>
          <w:rtl/>
          <w:lang w:bidi="fa-IR"/>
        </w:rPr>
        <w:t xml:space="preserve">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 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</w:t>
      </w:r>
      <w:r w:rsidR="009E2D6E">
        <w:rPr>
          <w:rFonts w:cs="Yagut" w:hint="cs"/>
          <w:color w:val="000000"/>
          <w:rtl/>
          <w:lang w:bidi="fa-IR"/>
        </w:rPr>
        <w:t xml:space="preserve">ه </w:t>
      </w:r>
      <w:r w:rsidR="00936424" w:rsidRPr="00137FBC">
        <w:rPr>
          <w:rFonts w:cs="Yagut" w:hint="cs"/>
          <w:color w:val="000000"/>
          <w:rtl/>
          <w:lang w:bidi="fa-IR"/>
        </w:rPr>
        <w:t>همراه ساير مدارك</w:t>
      </w:r>
      <w:r w:rsidR="009E2D6E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FD45D9" w:rsidRPr="004279DF" w:rsidRDefault="00205EDD" w:rsidP="009E2D6E">
      <w:pPr>
        <w:bidi/>
        <w:spacing w:line="276" w:lineRule="auto"/>
        <w:jc w:val="both"/>
        <w:rPr>
          <w:rFonts w:cs="Yagut"/>
          <w:b/>
          <w:bCs/>
          <w:color w:val="365F91" w:themeColor="accent1" w:themeShade="BF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>3-</w:t>
      </w:r>
      <w:r w:rsidRPr="00137FBC">
        <w:rPr>
          <w:rFonts w:cs="Yagut"/>
          <w:color w:val="000000"/>
          <w:rtl/>
          <w:lang w:bidi="fa-IR"/>
        </w:rPr>
        <w:t xml:space="preserve"> </w:t>
      </w:r>
      <w:r w:rsidR="004279DF" w:rsidRPr="009E2D6E">
        <w:rPr>
          <w:rFonts w:cs="Yagut" w:hint="cs"/>
          <w:b/>
          <w:bCs/>
          <w:rtl/>
          <w:lang w:bidi="fa-IR"/>
        </w:rPr>
        <w:t>ارايه تصوير برابر اصل پروانه كار/تاييد صلاحيت حسب نوع فعاليت مناقصه‌گر با توجه به موضوع فعاليت</w:t>
      </w:r>
      <w:r w:rsidR="009E2D6E">
        <w:rPr>
          <w:rFonts w:cs="Yagut" w:hint="cs"/>
          <w:b/>
          <w:bCs/>
          <w:rtl/>
          <w:lang w:bidi="fa-IR"/>
        </w:rPr>
        <w:t xml:space="preserve"> </w:t>
      </w:r>
      <w:r w:rsidR="004279DF" w:rsidRPr="009E2D6E">
        <w:rPr>
          <w:rFonts w:cs="Yagut" w:hint="cs"/>
          <w:b/>
          <w:bCs/>
          <w:rtl/>
          <w:lang w:bidi="fa-IR"/>
        </w:rPr>
        <w:t>(</w:t>
      </w:r>
      <w:r w:rsidR="009E2D6E">
        <w:rPr>
          <w:rFonts w:cs="Yagut" w:hint="cs"/>
          <w:b/>
          <w:bCs/>
          <w:rtl/>
          <w:lang w:bidi="fa-IR"/>
        </w:rPr>
        <w:t>‌</w:t>
      </w:r>
      <w:r w:rsidR="004279DF" w:rsidRPr="009E2D6E">
        <w:rPr>
          <w:rFonts w:cs="Yagut" w:hint="cs"/>
          <w:b/>
          <w:bCs/>
          <w:rtl/>
          <w:lang w:bidi="fa-IR"/>
        </w:rPr>
        <w:t>تجهيز سالن آمفي تئاتر يا سالن همايش) اين پروانه يا گواهي‌نامه مي‌تواند پروانه بهره‌برداري دكوراسيون داخلي از وزارت صنعت، معدن و تجارت يا گواهي‌نامه اخذ شده از وزارت تعاون، كار و رفاه اجتماعي باشد. درج موضوع مناقصه در اساسنامه شركت الزامي است.</w:t>
      </w:r>
    </w:p>
    <w:p w:rsidR="00071D06" w:rsidRDefault="00DB0C1A" w:rsidP="009E2D6E">
      <w:pPr>
        <w:bidi/>
        <w:spacing w:line="276" w:lineRule="auto"/>
        <w:jc w:val="both"/>
        <w:rPr>
          <w:rFonts w:cs="Yagut"/>
          <w:color w:val="000000"/>
          <w:rtl/>
        </w:rPr>
      </w:pPr>
      <w:r>
        <w:rPr>
          <w:rFonts w:cs="Yagut" w:hint="cs"/>
          <w:color w:val="000000"/>
          <w:rtl/>
          <w:lang w:bidi="fa-IR"/>
        </w:rPr>
        <w:t>4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ارائه</w:t>
      </w:r>
      <w:r w:rsidR="00BD7F2C" w:rsidRPr="00137FBC">
        <w:rPr>
          <w:rFonts w:cs="Yagut" w:hint="cs"/>
          <w:color w:val="000000"/>
          <w:rtl/>
          <w:lang w:bidi="fa-IR"/>
        </w:rPr>
        <w:t xml:space="preserve"> </w:t>
      </w:r>
      <w:r w:rsidR="001C5DDA" w:rsidRPr="00137FBC">
        <w:rPr>
          <w:rFonts w:cs="Yagut" w:hint="cs"/>
          <w:color w:val="000000"/>
          <w:rtl/>
          <w:lang w:bidi="fa-IR"/>
        </w:rPr>
        <w:t xml:space="preserve">گواهي </w:t>
      </w:r>
      <w:r w:rsidR="00620AAB" w:rsidRPr="00137FBC">
        <w:rPr>
          <w:rFonts w:cs="Yagut" w:hint="cs"/>
          <w:color w:val="000000"/>
          <w:rtl/>
          <w:lang w:bidi="fa-IR"/>
        </w:rPr>
        <w:t xml:space="preserve">مرتبط با انجام موضوع مناقصه </w:t>
      </w:r>
      <w:r w:rsidR="00E22B4F" w:rsidRPr="00137FBC">
        <w:rPr>
          <w:rFonts w:cs="Yagut" w:hint="cs"/>
          <w:color w:val="000000"/>
          <w:rtl/>
        </w:rPr>
        <w:t>و مستندات مربوط به سوابق كارهاي انجام شده يا در حال انجام و تشويق نامه</w:t>
      </w:r>
      <w:r w:rsidR="009E2D6E">
        <w:rPr>
          <w:rFonts w:cs="Yagut" w:hint="cs"/>
          <w:color w:val="000000"/>
          <w:rtl/>
        </w:rPr>
        <w:t>‌‌</w:t>
      </w:r>
      <w:r w:rsidR="00E22B4F" w:rsidRPr="00137FBC">
        <w:rPr>
          <w:rFonts w:cs="Yagut" w:hint="cs"/>
          <w:color w:val="000000"/>
          <w:rtl/>
        </w:rPr>
        <w:t>ها و رضايت نامه</w:t>
      </w:r>
      <w:r w:rsidR="009E2D6E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هاي كارفرمايان قبلي</w:t>
      </w:r>
      <w:r w:rsidR="00EB4D55" w:rsidRPr="00137FBC">
        <w:rPr>
          <w:rFonts w:cs="Yagut" w:hint="cs"/>
          <w:color w:val="000000"/>
          <w:rtl/>
        </w:rPr>
        <w:t xml:space="preserve"> و  مستندات مربوط به مدارك تحصيلي اعضاء هيات مديره پيمانكار</w:t>
      </w:r>
      <w:r w:rsidR="009E2D6E">
        <w:rPr>
          <w:rFonts w:cs="Yagut" w:hint="cs"/>
          <w:color w:val="000000"/>
          <w:rtl/>
        </w:rPr>
        <w:t>.</w:t>
      </w:r>
    </w:p>
    <w:p w:rsidR="00DB2BC3" w:rsidRPr="00DB2BC3" w:rsidRDefault="00DB0C1A" w:rsidP="009E2D6E">
      <w:pPr>
        <w:bidi/>
        <w:spacing w:line="276" w:lineRule="auto"/>
        <w:jc w:val="both"/>
        <w:rPr>
          <w:rFonts w:cs="Yagut"/>
          <w:color w:val="000000"/>
          <w:lang w:bidi="fa-IR"/>
        </w:rPr>
      </w:pPr>
      <w:r>
        <w:rPr>
          <w:rFonts w:cs="Yagut" w:hint="cs"/>
          <w:color w:val="000000"/>
          <w:rtl/>
          <w:lang w:bidi="fa-IR"/>
        </w:rPr>
        <w:t>5</w:t>
      </w:r>
      <w:r w:rsidR="00DB2BC3" w:rsidRPr="00BD60F1">
        <w:rPr>
          <w:rFonts w:cs="Yagut" w:hint="cs"/>
          <w:color w:val="000000"/>
          <w:rtl/>
          <w:lang w:bidi="fa-IR"/>
        </w:rPr>
        <w:t xml:space="preserve">- </w:t>
      </w:r>
      <w:r w:rsidR="00BD60F1" w:rsidRPr="00BD60F1">
        <w:rPr>
          <w:rFonts w:cs="Yagut" w:hint="cs"/>
          <w:rtl/>
          <w:lang w:bidi="fa-IR"/>
        </w:rPr>
        <w:t>ارائه صورت</w:t>
      </w:r>
      <w:r w:rsidR="009E2D6E">
        <w:rPr>
          <w:rFonts w:cs="Yagut" w:hint="cs"/>
          <w:rtl/>
          <w:lang w:bidi="fa-IR"/>
        </w:rPr>
        <w:t>‌</w:t>
      </w:r>
      <w:r w:rsidR="00BD60F1" w:rsidRPr="00BD60F1">
        <w:rPr>
          <w:rFonts w:cs="Yagut" w:hint="cs"/>
          <w:rtl/>
          <w:lang w:bidi="fa-IR"/>
        </w:rPr>
        <w:t>هاي مالي حسابرسي شده - (حسابرسي شده توسط سازمان حسابرسي يا اعضاي جامعه حسابداران رسمي)</w:t>
      </w:r>
      <w:r w:rsidR="00DB2BC3" w:rsidRPr="00BD60F1">
        <w:rPr>
          <w:rFonts w:cs="Yagut" w:hint="cs"/>
          <w:color w:val="000000"/>
          <w:rtl/>
          <w:lang w:bidi="fa-IR"/>
        </w:rPr>
        <w:t>.</w:t>
      </w:r>
      <w:r w:rsidR="00DB2BC3" w:rsidRPr="00DB2BC3">
        <w:rPr>
          <w:rFonts w:cs="Yagut" w:hint="cs"/>
          <w:color w:val="000000"/>
          <w:rtl/>
          <w:lang w:bidi="fa-IR"/>
        </w:rPr>
        <w:t xml:space="preserve"> </w:t>
      </w:r>
    </w:p>
    <w:p w:rsidR="000513F7" w:rsidRPr="00137FBC" w:rsidRDefault="00DB0C1A" w:rsidP="009E2D6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0513F7" w:rsidRPr="00137FBC">
        <w:rPr>
          <w:rFonts w:cs="Yagut" w:hint="cs"/>
          <w:color w:val="00000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</w:t>
      </w:r>
      <w:r w:rsidR="009E2D6E">
        <w:rPr>
          <w:rFonts w:cs="Yagut" w:hint="cs"/>
          <w:color w:val="000000"/>
          <w:rtl/>
          <w:lang w:bidi="fa-IR"/>
        </w:rPr>
        <w:t>.</w:t>
      </w:r>
      <w:r w:rsidR="007679C5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936424" w:rsidRPr="00137FBC" w:rsidRDefault="00DB0C1A" w:rsidP="009E2D6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936424" w:rsidRPr="00137FBC">
        <w:rPr>
          <w:rFonts w:cs="Yagut" w:hint="cs"/>
          <w:color w:val="000000"/>
          <w:rtl/>
          <w:lang w:bidi="fa-IR"/>
        </w:rPr>
        <w:t>-</w:t>
      </w:r>
      <w:r w:rsidR="009E2D6E">
        <w:rPr>
          <w:rFonts w:cs="Yagut" w:hint="cs"/>
          <w:color w:val="000000"/>
          <w:rtl/>
          <w:lang w:bidi="fa-IR"/>
        </w:rPr>
        <w:t xml:space="preserve"> </w:t>
      </w:r>
      <w:r w:rsidR="00936424" w:rsidRPr="00137FBC">
        <w:rPr>
          <w:rFonts w:cs="Yagut" w:hint="cs"/>
          <w:color w:val="000000"/>
          <w:rtl/>
          <w:lang w:bidi="fa-IR"/>
        </w:rPr>
        <w:t xml:space="preserve">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9E2D6E">
        <w:rPr>
          <w:rFonts w:cs="Yagut" w:hint="cs"/>
          <w:color w:val="000000"/>
          <w:rtl/>
          <w:lang w:bidi="fa-IR"/>
        </w:rPr>
        <w:t>‌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DB0C1A" w:rsidP="009E2D6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9E2D6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C82181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DB0C1A" w:rsidP="009E2D6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>جهت ارزيابي و امتياز</w:t>
      </w:r>
      <w:r w:rsidR="009E2D6E">
        <w:rPr>
          <w:rFonts w:cs="Yagut" w:hint="cs"/>
          <w:color w:val="000000"/>
          <w:rtl/>
          <w:lang w:bidi="fa-IR"/>
        </w:rPr>
        <w:t>‌</w:t>
      </w:r>
      <w:r w:rsidR="00BD7F2C" w:rsidRPr="00137FBC">
        <w:rPr>
          <w:rFonts w:cs="Yagut" w:hint="cs"/>
          <w:color w:val="000000"/>
          <w:rtl/>
          <w:lang w:bidi="fa-IR"/>
        </w:rPr>
        <w:t xml:space="preserve">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9E2D6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DB2BC3" w:rsidP="009E2D6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DB0C1A">
        <w:rPr>
          <w:rFonts w:cs="Yagut" w:hint="cs"/>
          <w:color w:val="000000"/>
          <w:rtl/>
          <w:lang w:bidi="fa-IR"/>
        </w:rPr>
        <w:t>0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9E2D6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 اند مطابق قوانين و مقررات با متخلف رفتار خواهد شد.</w:t>
      </w:r>
    </w:p>
    <w:p w:rsidR="00954A50" w:rsidRPr="00137FBC" w:rsidRDefault="00DB2BC3" w:rsidP="009E2D6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DB0C1A">
        <w:rPr>
          <w:rFonts w:cs="Yagut" w:hint="cs"/>
          <w:color w:val="000000"/>
          <w:rtl/>
          <w:lang w:bidi="fa-IR"/>
        </w:rPr>
        <w:t>1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>ساير اطلاعات مربوطه در اسناد مناقصه تحويلي به شركت</w:t>
      </w:r>
      <w:r w:rsidR="009E2D6E">
        <w:rPr>
          <w:rFonts w:cs="Yagut" w:hint="cs"/>
          <w:color w:val="000000"/>
          <w:rtl/>
          <w:lang w:bidi="fa-IR"/>
        </w:rPr>
        <w:t>‌</w:t>
      </w:r>
      <w:r w:rsidR="00C9037F" w:rsidRPr="00137FBC">
        <w:rPr>
          <w:rFonts w:cs="Yagut" w:hint="cs"/>
          <w:color w:val="000000"/>
          <w:rtl/>
          <w:lang w:bidi="fa-IR"/>
        </w:rPr>
        <w:t>هاي تعيين صلاحيت شده متعاقباً اعلام خواهد شد.</w:t>
      </w:r>
    </w:p>
    <w:p w:rsidR="0057129A" w:rsidRPr="004D573B" w:rsidRDefault="00DB2BC3" w:rsidP="009E2D6E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DB0C1A">
        <w:rPr>
          <w:rFonts w:cs="Yagut" w:hint="cs"/>
          <w:color w:val="000000"/>
          <w:rtl/>
          <w:lang w:bidi="fa-IR"/>
        </w:rPr>
        <w:t>2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9E2D6E">
        <w:rPr>
          <w:rFonts w:cs="Yagut" w:hint="cs"/>
          <w:color w:val="000000"/>
          <w:rtl/>
          <w:lang w:bidi="fa-IR"/>
        </w:rPr>
        <w:t>‌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</w:p>
    <w:p w:rsidR="0057129A" w:rsidRDefault="0057129A" w:rsidP="0057129A">
      <w:pPr>
        <w:tabs>
          <w:tab w:val="left" w:pos="1305"/>
        </w:tabs>
        <w:bidi/>
        <w:ind w:right="-567"/>
        <w:rPr>
          <w:rFonts w:cs="Sina"/>
          <w:noProof/>
          <w:sz w:val="20"/>
          <w:szCs w:val="20"/>
          <w:rtl/>
          <w:lang w:bidi="fa-IR"/>
        </w:rPr>
      </w:pPr>
    </w:p>
    <w:p w:rsidR="00D57A79" w:rsidRDefault="00D813E3" w:rsidP="00D57A79">
      <w:pPr>
        <w:tabs>
          <w:tab w:val="left" w:pos="1305"/>
        </w:tabs>
        <w:bidi/>
        <w:ind w:right="-567"/>
        <w:rPr>
          <w:rFonts w:cs="Sina"/>
          <w:sz w:val="20"/>
          <w:szCs w:val="20"/>
          <w:rtl/>
          <w:lang w:bidi="fa-IR"/>
        </w:rPr>
      </w:pPr>
      <w:r w:rsidRPr="00D813E3">
        <w:rPr>
          <w:rFonts w:cs="Sina"/>
          <w:noProof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9400" cy="8827509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79" w:rsidSect="006E1952">
      <w:pgSz w:w="12240" w:h="15840"/>
      <w:pgMar w:top="851" w:right="900" w:bottom="1079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20" w:rsidRDefault="002A0A20" w:rsidP="00926E55">
      <w:r>
        <w:separator/>
      </w:r>
    </w:p>
  </w:endnote>
  <w:endnote w:type="continuationSeparator" w:id="1">
    <w:p w:rsidR="002A0A20" w:rsidRDefault="002A0A20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20" w:rsidRDefault="002A0A20" w:rsidP="00926E55">
      <w:r>
        <w:separator/>
      </w:r>
    </w:p>
  </w:footnote>
  <w:footnote w:type="continuationSeparator" w:id="1">
    <w:p w:rsidR="002A0A20" w:rsidRDefault="002A0A20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032F"/>
    <w:rsid w:val="00002B36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41F7C"/>
    <w:rsid w:val="0004279F"/>
    <w:rsid w:val="00043151"/>
    <w:rsid w:val="000475E2"/>
    <w:rsid w:val="00050A1B"/>
    <w:rsid w:val="000513F7"/>
    <w:rsid w:val="00055D78"/>
    <w:rsid w:val="00061008"/>
    <w:rsid w:val="00062A9D"/>
    <w:rsid w:val="00065D90"/>
    <w:rsid w:val="00071D06"/>
    <w:rsid w:val="00072869"/>
    <w:rsid w:val="00077C80"/>
    <w:rsid w:val="00077F35"/>
    <w:rsid w:val="00082DC1"/>
    <w:rsid w:val="00083580"/>
    <w:rsid w:val="00085ED6"/>
    <w:rsid w:val="000909BB"/>
    <w:rsid w:val="0009106A"/>
    <w:rsid w:val="0009113E"/>
    <w:rsid w:val="00091155"/>
    <w:rsid w:val="0009709B"/>
    <w:rsid w:val="000A3ACC"/>
    <w:rsid w:val="000B0CBD"/>
    <w:rsid w:val="000B2DD7"/>
    <w:rsid w:val="000B2E86"/>
    <w:rsid w:val="000B577E"/>
    <w:rsid w:val="000C09CE"/>
    <w:rsid w:val="000C54B6"/>
    <w:rsid w:val="000E3CD1"/>
    <w:rsid w:val="000E7138"/>
    <w:rsid w:val="000F581C"/>
    <w:rsid w:val="0010402D"/>
    <w:rsid w:val="001075F3"/>
    <w:rsid w:val="00112CBB"/>
    <w:rsid w:val="001243EE"/>
    <w:rsid w:val="00126223"/>
    <w:rsid w:val="00137FBC"/>
    <w:rsid w:val="00140A7B"/>
    <w:rsid w:val="0015509E"/>
    <w:rsid w:val="00155A27"/>
    <w:rsid w:val="00157E28"/>
    <w:rsid w:val="00163AD1"/>
    <w:rsid w:val="00164159"/>
    <w:rsid w:val="001702E5"/>
    <w:rsid w:val="001727AC"/>
    <w:rsid w:val="00174DC6"/>
    <w:rsid w:val="00185D2C"/>
    <w:rsid w:val="00197A4C"/>
    <w:rsid w:val="001A3A00"/>
    <w:rsid w:val="001A461F"/>
    <w:rsid w:val="001A5F3A"/>
    <w:rsid w:val="001A77FB"/>
    <w:rsid w:val="001A7A75"/>
    <w:rsid w:val="001A7F14"/>
    <w:rsid w:val="001B4491"/>
    <w:rsid w:val="001C198B"/>
    <w:rsid w:val="001C5DDA"/>
    <w:rsid w:val="001C740D"/>
    <w:rsid w:val="001C7DA3"/>
    <w:rsid w:val="001D20E8"/>
    <w:rsid w:val="001D31A5"/>
    <w:rsid w:val="001D66D7"/>
    <w:rsid w:val="001E12DB"/>
    <w:rsid w:val="001F2797"/>
    <w:rsid w:val="001F66A3"/>
    <w:rsid w:val="002057F7"/>
    <w:rsid w:val="00205976"/>
    <w:rsid w:val="00205EDD"/>
    <w:rsid w:val="00215759"/>
    <w:rsid w:val="00222F95"/>
    <w:rsid w:val="00223D3F"/>
    <w:rsid w:val="0022526D"/>
    <w:rsid w:val="0023513F"/>
    <w:rsid w:val="00246524"/>
    <w:rsid w:val="00247492"/>
    <w:rsid w:val="002533D8"/>
    <w:rsid w:val="00257590"/>
    <w:rsid w:val="00262515"/>
    <w:rsid w:val="002669E9"/>
    <w:rsid w:val="0027293E"/>
    <w:rsid w:val="00275AC6"/>
    <w:rsid w:val="00281E77"/>
    <w:rsid w:val="00291A26"/>
    <w:rsid w:val="002938A8"/>
    <w:rsid w:val="00293B96"/>
    <w:rsid w:val="002A0772"/>
    <w:rsid w:val="002A0A20"/>
    <w:rsid w:val="002A4147"/>
    <w:rsid w:val="002B5FAA"/>
    <w:rsid w:val="002B5FF3"/>
    <w:rsid w:val="002C6A8D"/>
    <w:rsid w:val="002C7290"/>
    <w:rsid w:val="002D0909"/>
    <w:rsid w:val="002D6BF5"/>
    <w:rsid w:val="002E0794"/>
    <w:rsid w:val="002E23F6"/>
    <w:rsid w:val="002E40BC"/>
    <w:rsid w:val="002E66FE"/>
    <w:rsid w:val="002F2496"/>
    <w:rsid w:val="00304B0C"/>
    <w:rsid w:val="00316E71"/>
    <w:rsid w:val="00326C25"/>
    <w:rsid w:val="003272CE"/>
    <w:rsid w:val="00327432"/>
    <w:rsid w:val="00327A70"/>
    <w:rsid w:val="0033326A"/>
    <w:rsid w:val="0034068A"/>
    <w:rsid w:val="003421E4"/>
    <w:rsid w:val="003736AB"/>
    <w:rsid w:val="00382CAB"/>
    <w:rsid w:val="00387793"/>
    <w:rsid w:val="00390C82"/>
    <w:rsid w:val="00392A11"/>
    <w:rsid w:val="00396E3C"/>
    <w:rsid w:val="003973F5"/>
    <w:rsid w:val="003A2578"/>
    <w:rsid w:val="003A4108"/>
    <w:rsid w:val="003B03B2"/>
    <w:rsid w:val="003B50B7"/>
    <w:rsid w:val="003C136F"/>
    <w:rsid w:val="003C2579"/>
    <w:rsid w:val="003C5BF4"/>
    <w:rsid w:val="003D20F8"/>
    <w:rsid w:val="003D400E"/>
    <w:rsid w:val="003D63F0"/>
    <w:rsid w:val="003D7D94"/>
    <w:rsid w:val="003E295B"/>
    <w:rsid w:val="003E3E38"/>
    <w:rsid w:val="003E678D"/>
    <w:rsid w:val="00405E1C"/>
    <w:rsid w:val="0040639C"/>
    <w:rsid w:val="00407E56"/>
    <w:rsid w:val="00417F88"/>
    <w:rsid w:val="004279DF"/>
    <w:rsid w:val="00433413"/>
    <w:rsid w:val="0043556D"/>
    <w:rsid w:val="00435D1B"/>
    <w:rsid w:val="004377D9"/>
    <w:rsid w:val="00441E2D"/>
    <w:rsid w:val="00452F50"/>
    <w:rsid w:val="00454868"/>
    <w:rsid w:val="00455E3D"/>
    <w:rsid w:val="004614D5"/>
    <w:rsid w:val="004641B3"/>
    <w:rsid w:val="00475C2E"/>
    <w:rsid w:val="0048339C"/>
    <w:rsid w:val="00483423"/>
    <w:rsid w:val="00483D25"/>
    <w:rsid w:val="00493AA9"/>
    <w:rsid w:val="004A726F"/>
    <w:rsid w:val="004A7582"/>
    <w:rsid w:val="004A7CD5"/>
    <w:rsid w:val="004B4CA0"/>
    <w:rsid w:val="004B6ADD"/>
    <w:rsid w:val="004C3231"/>
    <w:rsid w:val="004C36CD"/>
    <w:rsid w:val="004C77C0"/>
    <w:rsid w:val="004D1EF6"/>
    <w:rsid w:val="004D573B"/>
    <w:rsid w:val="004D7CCC"/>
    <w:rsid w:val="004E54AA"/>
    <w:rsid w:val="004F0366"/>
    <w:rsid w:val="004F417C"/>
    <w:rsid w:val="004F4DE2"/>
    <w:rsid w:val="004F7CC7"/>
    <w:rsid w:val="005019D9"/>
    <w:rsid w:val="0050207E"/>
    <w:rsid w:val="00505A22"/>
    <w:rsid w:val="0051451E"/>
    <w:rsid w:val="00520F41"/>
    <w:rsid w:val="00521B83"/>
    <w:rsid w:val="0052611B"/>
    <w:rsid w:val="0053040A"/>
    <w:rsid w:val="00533825"/>
    <w:rsid w:val="00535C8D"/>
    <w:rsid w:val="00536BAA"/>
    <w:rsid w:val="00536E64"/>
    <w:rsid w:val="0054058D"/>
    <w:rsid w:val="00543C7E"/>
    <w:rsid w:val="0055009A"/>
    <w:rsid w:val="00553F4C"/>
    <w:rsid w:val="00556BC9"/>
    <w:rsid w:val="00563357"/>
    <w:rsid w:val="00564973"/>
    <w:rsid w:val="0057129A"/>
    <w:rsid w:val="00575C12"/>
    <w:rsid w:val="005830F7"/>
    <w:rsid w:val="00583606"/>
    <w:rsid w:val="00586E0D"/>
    <w:rsid w:val="00594751"/>
    <w:rsid w:val="00596586"/>
    <w:rsid w:val="005B1A4D"/>
    <w:rsid w:val="005B3C6E"/>
    <w:rsid w:val="005B4351"/>
    <w:rsid w:val="005B7601"/>
    <w:rsid w:val="005C0E79"/>
    <w:rsid w:val="005C4910"/>
    <w:rsid w:val="005E04F2"/>
    <w:rsid w:val="005E0F2B"/>
    <w:rsid w:val="005E2179"/>
    <w:rsid w:val="005E47D7"/>
    <w:rsid w:val="005E660F"/>
    <w:rsid w:val="005F7082"/>
    <w:rsid w:val="00604786"/>
    <w:rsid w:val="006072ED"/>
    <w:rsid w:val="00612B93"/>
    <w:rsid w:val="00612B95"/>
    <w:rsid w:val="006154A9"/>
    <w:rsid w:val="00617738"/>
    <w:rsid w:val="00620AAB"/>
    <w:rsid w:val="00620BB0"/>
    <w:rsid w:val="00631643"/>
    <w:rsid w:val="00633CD1"/>
    <w:rsid w:val="00640EE6"/>
    <w:rsid w:val="006458F5"/>
    <w:rsid w:val="00645B99"/>
    <w:rsid w:val="00651CAF"/>
    <w:rsid w:val="00654DE7"/>
    <w:rsid w:val="00656853"/>
    <w:rsid w:val="00657087"/>
    <w:rsid w:val="00670107"/>
    <w:rsid w:val="006744D7"/>
    <w:rsid w:val="006820EB"/>
    <w:rsid w:val="00684C8B"/>
    <w:rsid w:val="00693081"/>
    <w:rsid w:val="006934E3"/>
    <w:rsid w:val="006A03FC"/>
    <w:rsid w:val="006A2B85"/>
    <w:rsid w:val="006A2CBF"/>
    <w:rsid w:val="006A4F90"/>
    <w:rsid w:val="006A7691"/>
    <w:rsid w:val="006A78B5"/>
    <w:rsid w:val="006A7E1E"/>
    <w:rsid w:val="006C0BB8"/>
    <w:rsid w:val="006C45CB"/>
    <w:rsid w:val="006D0F35"/>
    <w:rsid w:val="006D1928"/>
    <w:rsid w:val="006D7914"/>
    <w:rsid w:val="006D7CA6"/>
    <w:rsid w:val="006E1952"/>
    <w:rsid w:val="006E4DA6"/>
    <w:rsid w:val="006F107F"/>
    <w:rsid w:val="006F45BD"/>
    <w:rsid w:val="007058A2"/>
    <w:rsid w:val="00707104"/>
    <w:rsid w:val="0071023D"/>
    <w:rsid w:val="00710E99"/>
    <w:rsid w:val="00722F3E"/>
    <w:rsid w:val="0073269A"/>
    <w:rsid w:val="00734903"/>
    <w:rsid w:val="00736583"/>
    <w:rsid w:val="0074279A"/>
    <w:rsid w:val="007435A7"/>
    <w:rsid w:val="00744347"/>
    <w:rsid w:val="00747E91"/>
    <w:rsid w:val="00751002"/>
    <w:rsid w:val="007511B6"/>
    <w:rsid w:val="00761B3F"/>
    <w:rsid w:val="0076357C"/>
    <w:rsid w:val="0076757A"/>
    <w:rsid w:val="007679C5"/>
    <w:rsid w:val="00773FFF"/>
    <w:rsid w:val="00777815"/>
    <w:rsid w:val="00780EB3"/>
    <w:rsid w:val="00781794"/>
    <w:rsid w:val="00782736"/>
    <w:rsid w:val="00785E54"/>
    <w:rsid w:val="007869B3"/>
    <w:rsid w:val="0079080F"/>
    <w:rsid w:val="007954CE"/>
    <w:rsid w:val="007B127E"/>
    <w:rsid w:val="007C17A4"/>
    <w:rsid w:val="007C2FE9"/>
    <w:rsid w:val="007C4ED5"/>
    <w:rsid w:val="007D3F9A"/>
    <w:rsid w:val="007D7851"/>
    <w:rsid w:val="007E36FE"/>
    <w:rsid w:val="007E5030"/>
    <w:rsid w:val="007E6199"/>
    <w:rsid w:val="00805557"/>
    <w:rsid w:val="008153D0"/>
    <w:rsid w:val="00821EA7"/>
    <w:rsid w:val="0082451B"/>
    <w:rsid w:val="0082481A"/>
    <w:rsid w:val="00825D67"/>
    <w:rsid w:val="00831E67"/>
    <w:rsid w:val="008353AE"/>
    <w:rsid w:val="00855735"/>
    <w:rsid w:val="00855A5F"/>
    <w:rsid w:val="008567F4"/>
    <w:rsid w:val="008601E0"/>
    <w:rsid w:val="0086089D"/>
    <w:rsid w:val="00861F1B"/>
    <w:rsid w:val="0086406E"/>
    <w:rsid w:val="00864D48"/>
    <w:rsid w:val="00867452"/>
    <w:rsid w:val="00870A6D"/>
    <w:rsid w:val="00871F40"/>
    <w:rsid w:val="008747DC"/>
    <w:rsid w:val="00884B13"/>
    <w:rsid w:val="008862AB"/>
    <w:rsid w:val="00886A11"/>
    <w:rsid w:val="008942EF"/>
    <w:rsid w:val="008A0E06"/>
    <w:rsid w:val="008A326C"/>
    <w:rsid w:val="008A6064"/>
    <w:rsid w:val="008B104C"/>
    <w:rsid w:val="008C3C98"/>
    <w:rsid w:val="008C5D94"/>
    <w:rsid w:val="008C5FD5"/>
    <w:rsid w:val="008C7255"/>
    <w:rsid w:val="008D7643"/>
    <w:rsid w:val="008E4E93"/>
    <w:rsid w:val="008F4652"/>
    <w:rsid w:val="009076EA"/>
    <w:rsid w:val="009216D2"/>
    <w:rsid w:val="0092455C"/>
    <w:rsid w:val="009246A9"/>
    <w:rsid w:val="00926E55"/>
    <w:rsid w:val="009363D5"/>
    <w:rsid w:val="00936424"/>
    <w:rsid w:val="00943CF3"/>
    <w:rsid w:val="00947742"/>
    <w:rsid w:val="00950ECC"/>
    <w:rsid w:val="00952698"/>
    <w:rsid w:val="00954A50"/>
    <w:rsid w:val="0095592A"/>
    <w:rsid w:val="009573BF"/>
    <w:rsid w:val="00963AAB"/>
    <w:rsid w:val="00964296"/>
    <w:rsid w:val="00966715"/>
    <w:rsid w:val="0097037B"/>
    <w:rsid w:val="009811DD"/>
    <w:rsid w:val="0098460E"/>
    <w:rsid w:val="009878B3"/>
    <w:rsid w:val="009878E7"/>
    <w:rsid w:val="00996ACC"/>
    <w:rsid w:val="009A06BA"/>
    <w:rsid w:val="009A4509"/>
    <w:rsid w:val="009A52D3"/>
    <w:rsid w:val="009B5A68"/>
    <w:rsid w:val="009C0BC4"/>
    <w:rsid w:val="009C1B57"/>
    <w:rsid w:val="009C2601"/>
    <w:rsid w:val="009C5B76"/>
    <w:rsid w:val="009C65BF"/>
    <w:rsid w:val="009D0CA4"/>
    <w:rsid w:val="009D25FB"/>
    <w:rsid w:val="009D35CD"/>
    <w:rsid w:val="009D51D7"/>
    <w:rsid w:val="009D69B7"/>
    <w:rsid w:val="009D6BCE"/>
    <w:rsid w:val="009E0AB0"/>
    <w:rsid w:val="009E137F"/>
    <w:rsid w:val="009E2D6E"/>
    <w:rsid w:val="009E578D"/>
    <w:rsid w:val="009E5B6E"/>
    <w:rsid w:val="009F226C"/>
    <w:rsid w:val="009F4694"/>
    <w:rsid w:val="009F6740"/>
    <w:rsid w:val="009F6FBA"/>
    <w:rsid w:val="00A07747"/>
    <w:rsid w:val="00A1557C"/>
    <w:rsid w:val="00A166BA"/>
    <w:rsid w:val="00A1797B"/>
    <w:rsid w:val="00A17B82"/>
    <w:rsid w:val="00A25149"/>
    <w:rsid w:val="00A30B16"/>
    <w:rsid w:val="00A34363"/>
    <w:rsid w:val="00A36A44"/>
    <w:rsid w:val="00A50CC0"/>
    <w:rsid w:val="00A53B00"/>
    <w:rsid w:val="00A63175"/>
    <w:rsid w:val="00A6495F"/>
    <w:rsid w:val="00A7426C"/>
    <w:rsid w:val="00A85F7C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D174F"/>
    <w:rsid w:val="00AD65BF"/>
    <w:rsid w:val="00AE294C"/>
    <w:rsid w:val="00B0515A"/>
    <w:rsid w:val="00B05E85"/>
    <w:rsid w:val="00B07755"/>
    <w:rsid w:val="00B1145C"/>
    <w:rsid w:val="00B116C8"/>
    <w:rsid w:val="00B12506"/>
    <w:rsid w:val="00B16307"/>
    <w:rsid w:val="00B172F5"/>
    <w:rsid w:val="00B247E6"/>
    <w:rsid w:val="00B255C5"/>
    <w:rsid w:val="00B32062"/>
    <w:rsid w:val="00B33259"/>
    <w:rsid w:val="00B403B0"/>
    <w:rsid w:val="00B4491D"/>
    <w:rsid w:val="00B476CD"/>
    <w:rsid w:val="00B64E3E"/>
    <w:rsid w:val="00B65C58"/>
    <w:rsid w:val="00B662E1"/>
    <w:rsid w:val="00B779FD"/>
    <w:rsid w:val="00B82428"/>
    <w:rsid w:val="00B83FD9"/>
    <w:rsid w:val="00B87158"/>
    <w:rsid w:val="00B90A4A"/>
    <w:rsid w:val="00BA1D50"/>
    <w:rsid w:val="00BA487E"/>
    <w:rsid w:val="00BB4CEC"/>
    <w:rsid w:val="00BC450C"/>
    <w:rsid w:val="00BC68A4"/>
    <w:rsid w:val="00BD34BC"/>
    <w:rsid w:val="00BD60F1"/>
    <w:rsid w:val="00BD7F2C"/>
    <w:rsid w:val="00BE000E"/>
    <w:rsid w:val="00BE77DF"/>
    <w:rsid w:val="00BF2196"/>
    <w:rsid w:val="00BF4416"/>
    <w:rsid w:val="00BF7359"/>
    <w:rsid w:val="00C0169B"/>
    <w:rsid w:val="00C032BB"/>
    <w:rsid w:val="00C03E83"/>
    <w:rsid w:val="00C273AB"/>
    <w:rsid w:val="00C34096"/>
    <w:rsid w:val="00C34F3B"/>
    <w:rsid w:val="00C4049C"/>
    <w:rsid w:val="00C52F3F"/>
    <w:rsid w:val="00C53799"/>
    <w:rsid w:val="00C72B8F"/>
    <w:rsid w:val="00C750B1"/>
    <w:rsid w:val="00C778B7"/>
    <w:rsid w:val="00C82181"/>
    <w:rsid w:val="00C86DEC"/>
    <w:rsid w:val="00C9037F"/>
    <w:rsid w:val="00C94680"/>
    <w:rsid w:val="00C96C65"/>
    <w:rsid w:val="00CA6F22"/>
    <w:rsid w:val="00CB202A"/>
    <w:rsid w:val="00CB58E5"/>
    <w:rsid w:val="00CC4B45"/>
    <w:rsid w:val="00CC4BAC"/>
    <w:rsid w:val="00CC682B"/>
    <w:rsid w:val="00CC7D03"/>
    <w:rsid w:val="00CD0A12"/>
    <w:rsid w:val="00CD1C13"/>
    <w:rsid w:val="00CE2C84"/>
    <w:rsid w:val="00CE5F05"/>
    <w:rsid w:val="00CE60E4"/>
    <w:rsid w:val="00CF0E6F"/>
    <w:rsid w:val="00CF7C96"/>
    <w:rsid w:val="00D00D08"/>
    <w:rsid w:val="00D03F72"/>
    <w:rsid w:val="00D06CF4"/>
    <w:rsid w:val="00D20241"/>
    <w:rsid w:val="00D207AD"/>
    <w:rsid w:val="00D21541"/>
    <w:rsid w:val="00D2214E"/>
    <w:rsid w:val="00D26488"/>
    <w:rsid w:val="00D26E1D"/>
    <w:rsid w:val="00D34BD7"/>
    <w:rsid w:val="00D371C4"/>
    <w:rsid w:val="00D40D5E"/>
    <w:rsid w:val="00D476F4"/>
    <w:rsid w:val="00D53EFB"/>
    <w:rsid w:val="00D57A79"/>
    <w:rsid w:val="00D57FF3"/>
    <w:rsid w:val="00D61B89"/>
    <w:rsid w:val="00D66BBE"/>
    <w:rsid w:val="00D67039"/>
    <w:rsid w:val="00D67BBE"/>
    <w:rsid w:val="00D71AAC"/>
    <w:rsid w:val="00D813E3"/>
    <w:rsid w:val="00D820C3"/>
    <w:rsid w:val="00D86F10"/>
    <w:rsid w:val="00D949F4"/>
    <w:rsid w:val="00DA0035"/>
    <w:rsid w:val="00DA24DB"/>
    <w:rsid w:val="00DA3841"/>
    <w:rsid w:val="00DA54F5"/>
    <w:rsid w:val="00DB0782"/>
    <w:rsid w:val="00DB0C1A"/>
    <w:rsid w:val="00DB250D"/>
    <w:rsid w:val="00DB2BC3"/>
    <w:rsid w:val="00DB5901"/>
    <w:rsid w:val="00DD0DD0"/>
    <w:rsid w:val="00DD5D26"/>
    <w:rsid w:val="00DE13F0"/>
    <w:rsid w:val="00DE1899"/>
    <w:rsid w:val="00DE3263"/>
    <w:rsid w:val="00DE4E84"/>
    <w:rsid w:val="00DE5AB8"/>
    <w:rsid w:val="00DE5E95"/>
    <w:rsid w:val="00DE5EEC"/>
    <w:rsid w:val="00DF6167"/>
    <w:rsid w:val="00E117C6"/>
    <w:rsid w:val="00E22B4F"/>
    <w:rsid w:val="00E250F2"/>
    <w:rsid w:val="00E271DB"/>
    <w:rsid w:val="00E31D47"/>
    <w:rsid w:val="00E33053"/>
    <w:rsid w:val="00E443F1"/>
    <w:rsid w:val="00E45DDB"/>
    <w:rsid w:val="00E5124A"/>
    <w:rsid w:val="00E5260F"/>
    <w:rsid w:val="00E549AA"/>
    <w:rsid w:val="00E6086F"/>
    <w:rsid w:val="00E615CA"/>
    <w:rsid w:val="00E63258"/>
    <w:rsid w:val="00E64380"/>
    <w:rsid w:val="00E646B5"/>
    <w:rsid w:val="00E74D36"/>
    <w:rsid w:val="00E770B9"/>
    <w:rsid w:val="00E77BEB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318"/>
    <w:rsid w:val="00EA350C"/>
    <w:rsid w:val="00EA3F1C"/>
    <w:rsid w:val="00EB06B3"/>
    <w:rsid w:val="00EB10EC"/>
    <w:rsid w:val="00EB1CDC"/>
    <w:rsid w:val="00EB2727"/>
    <w:rsid w:val="00EB2C84"/>
    <w:rsid w:val="00EB2E2C"/>
    <w:rsid w:val="00EB4D55"/>
    <w:rsid w:val="00EC103D"/>
    <w:rsid w:val="00EC41A6"/>
    <w:rsid w:val="00ED3A35"/>
    <w:rsid w:val="00ED653A"/>
    <w:rsid w:val="00ED6A13"/>
    <w:rsid w:val="00EE0485"/>
    <w:rsid w:val="00EE5068"/>
    <w:rsid w:val="00EF3E35"/>
    <w:rsid w:val="00F01273"/>
    <w:rsid w:val="00F03237"/>
    <w:rsid w:val="00F102DE"/>
    <w:rsid w:val="00F15D7B"/>
    <w:rsid w:val="00F17038"/>
    <w:rsid w:val="00F17DDB"/>
    <w:rsid w:val="00F21AB4"/>
    <w:rsid w:val="00F22781"/>
    <w:rsid w:val="00F352CA"/>
    <w:rsid w:val="00F36B09"/>
    <w:rsid w:val="00F41625"/>
    <w:rsid w:val="00F41E37"/>
    <w:rsid w:val="00F553B1"/>
    <w:rsid w:val="00F63F0B"/>
    <w:rsid w:val="00F71935"/>
    <w:rsid w:val="00F752B8"/>
    <w:rsid w:val="00F823B1"/>
    <w:rsid w:val="00F873FB"/>
    <w:rsid w:val="00F92709"/>
    <w:rsid w:val="00F93D33"/>
    <w:rsid w:val="00F97CB7"/>
    <w:rsid w:val="00FA23BB"/>
    <w:rsid w:val="00FA4A4A"/>
    <w:rsid w:val="00FA57AF"/>
    <w:rsid w:val="00FB1D16"/>
    <w:rsid w:val="00FB4FC0"/>
    <w:rsid w:val="00FB6204"/>
    <w:rsid w:val="00FB74E8"/>
    <w:rsid w:val="00FC0561"/>
    <w:rsid w:val="00FC47B5"/>
    <w:rsid w:val="00FD45D9"/>
    <w:rsid w:val="00FD725F"/>
    <w:rsid w:val="00FE03CD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EC6A-571E-4412-B6DA-5CE7F6CD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5397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cp:lastModifiedBy>540855</cp:lastModifiedBy>
  <cp:revision>56</cp:revision>
  <cp:lastPrinted>2017-02-06T08:03:00Z</cp:lastPrinted>
  <dcterms:created xsi:type="dcterms:W3CDTF">2013-09-07T07:15:00Z</dcterms:created>
  <dcterms:modified xsi:type="dcterms:W3CDTF">2017-11-01T11:06:00Z</dcterms:modified>
</cp:coreProperties>
</file>