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7D" w:rsidRDefault="00AC0F7D" w:rsidP="00A04FC9">
      <w:pPr>
        <w:jc w:val="center"/>
        <w:rPr>
          <w:rFonts w:cs="B Titr" w:hint="cs"/>
          <w:sz w:val="36"/>
          <w:szCs w:val="36"/>
          <w:rtl/>
        </w:rPr>
      </w:pPr>
      <w:r>
        <w:rPr>
          <w:rFonts w:cs="B Titr" w:hint="cs"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64135</wp:posOffset>
            </wp:positionV>
            <wp:extent cx="552450" cy="533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F7D" w:rsidRDefault="00AC0F7D" w:rsidP="00AC0F7D">
      <w:pPr>
        <w:spacing w:after="0" w:line="240" w:lineRule="auto"/>
        <w:jc w:val="center"/>
        <w:rPr>
          <w:rFonts w:cs="Titr" w:hint="cs"/>
          <w:sz w:val="36"/>
          <w:szCs w:val="36"/>
          <w:rtl/>
        </w:rPr>
      </w:pPr>
      <w:r w:rsidRPr="00A1581B">
        <w:rPr>
          <w:rFonts w:cs="Titr" w:hint="cs"/>
          <w:sz w:val="16"/>
          <w:szCs w:val="16"/>
          <w:rtl/>
        </w:rPr>
        <w:t>شركت مجتمع گاز پارس جنوبي</w:t>
      </w:r>
    </w:p>
    <w:p w:rsidR="00A04FC9" w:rsidRDefault="00445124" w:rsidP="00AC0F7D">
      <w:pPr>
        <w:spacing w:after="0" w:line="240" w:lineRule="auto"/>
        <w:jc w:val="center"/>
        <w:rPr>
          <w:rFonts w:cs="Titr" w:hint="cs"/>
          <w:sz w:val="28"/>
          <w:szCs w:val="28"/>
          <w:rtl/>
        </w:rPr>
      </w:pPr>
      <w:r w:rsidRPr="00445124">
        <w:rPr>
          <w:rFonts w:cs="Titr"/>
          <w:rtl/>
        </w:rPr>
        <w:t xml:space="preserve">  </w:t>
      </w:r>
      <w:r w:rsidR="00123918" w:rsidRPr="00445124">
        <w:rPr>
          <w:rFonts w:cs="Titr" w:hint="cs"/>
          <w:sz w:val="28"/>
          <w:szCs w:val="28"/>
          <w:rtl/>
        </w:rPr>
        <w:t>گزارش شناخت</w:t>
      </w:r>
    </w:p>
    <w:p w:rsidR="00445124" w:rsidRDefault="00445124" w:rsidP="00445124">
      <w:pPr>
        <w:spacing w:after="0" w:line="240" w:lineRule="auto"/>
        <w:jc w:val="center"/>
        <w:rPr>
          <w:rFonts w:cs="Titr" w:hint="cs"/>
          <w:rtl/>
        </w:rPr>
      </w:pPr>
      <w:r>
        <w:rPr>
          <w:rFonts w:cs="Titr" w:hint="cs"/>
          <w:rtl/>
        </w:rPr>
        <w:t xml:space="preserve">مناقصه </w:t>
      </w:r>
      <w:r w:rsidRPr="00445124">
        <w:rPr>
          <w:rFonts w:cs="Titr" w:hint="cs"/>
          <w:rtl/>
        </w:rPr>
        <w:t>شماره</w:t>
      </w:r>
      <w:r w:rsidRPr="00445124">
        <w:rPr>
          <w:rFonts w:cs="Titr"/>
          <w:rtl/>
        </w:rPr>
        <w:t>769/95</w:t>
      </w:r>
    </w:p>
    <w:p w:rsidR="00AC0F7D" w:rsidRDefault="00445124" w:rsidP="00E90918">
      <w:pPr>
        <w:spacing w:after="0" w:line="240" w:lineRule="auto"/>
        <w:ind w:right="357"/>
        <w:jc w:val="center"/>
        <w:rPr>
          <w:rFonts w:cs="Titr" w:hint="cs"/>
          <w:rtl/>
        </w:rPr>
      </w:pPr>
      <w:r w:rsidRPr="00445124">
        <w:rPr>
          <w:rFonts w:cs="Titr" w:hint="cs"/>
          <w:rtl/>
        </w:rPr>
        <w:t>مناقصه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عمومي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و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دو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مرحله</w:t>
      </w:r>
      <w:r w:rsidR="00E90918">
        <w:rPr>
          <w:rFonts w:cs="Titr" w:hint="cs"/>
          <w:rtl/>
        </w:rPr>
        <w:t>‌</w:t>
      </w:r>
      <w:r w:rsidRPr="00445124">
        <w:rPr>
          <w:rFonts w:cs="Titr" w:hint="cs"/>
          <w:rtl/>
        </w:rPr>
        <w:t>اي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انجام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خدمات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مهندسي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مرحله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اول،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دوم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و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مرحله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سوم</w:t>
      </w:r>
      <w:r w:rsidRPr="00445124">
        <w:rPr>
          <w:rFonts w:cs="Titr"/>
          <w:rtl/>
        </w:rPr>
        <w:t xml:space="preserve"> (</w:t>
      </w:r>
      <w:r w:rsidRPr="00445124">
        <w:rPr>
          <w:rFonts w:cs="Titr" w:hint="cs"/>
          <w:rtl/>
        </w:rPr>
        <w:t>نظارت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عاليه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و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كارگاهي</w:t>
      </w:r>
      <w:r w:rsidRPr="00445124">
        <w:rPr>
          <w:rFonts w:cs="Titr"/>
          <w:rtl/>
        </w:rPr>
        <w:t xml:space="preserve">) 64 </w:t>
      </w:r>
      <w:r w:rsidRPr="00445124">
        <w:rPr>
          <w:rFonts w:cs="Titr" w:hint="cs"/>
          <w:rtl/>
        </w:rPr>
        <w:t>دستگاه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آسانسور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و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سازه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مربوط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شهرك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هاي</w:t>
      </w:r>
      <w:r w:rsidRPr="00445124">
        <w:rPr>
          <w:rFonts w:cs="Titr"/>
          <w:rtl/>
        </w:rPr>
        <w:t xml:space="preserve">  2500 </w:t>
      </w:r>
      <w:r w:rsidRPr="00445124">
        <w:rPr>
          <w:rFonts w:cs="Titr" w:hint="cs"/>
          <w:rtl/>
        </w:rPr>
        <w:t>واحدي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شهيد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تندگويان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و</w:t>
      </w:r>
      <w:r w:rsidRPr="00445124">
        <w:rPr>
          <w:rFonts w:cs="Titr"/>
          <w:rtl/>
        </w:rPr>
        <w:t xml:space="preserve"> 372 </w:t>
      </w:r>
      <w:r w:rsidRPr="00445124">
        <w:rPr>
          <w:rFonts w:cs="Titr" w:hint="cs"/>
          <w:rtl/>
        </w:rPr>
        <w:t>واحدي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مجتمع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مسكوني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پارس</w:t>
      </w:r>
      <w:r w:rsidRPr="00445124">
        <w:rPr>
          <w:rFonts w:cs="Titr"/>
          <w:rtl/>
        </w:rPr>
        <w:t xml:space="preserve"> </w:t>
      </w:r>
      <w:r w:rsidRPr="00445124">
        <w:rPr>
          <w:rFonts w:cs="Titr" w:hint="cs"/>
          <w:rtl/>
        </w:rPr>
        <w:t>جم</w:t>
      </w:r>
    </w:p>
    <w:p w:rsidR="00E90918" w:rsidRPr="00445124" w:rsidRDefault="00E90918" w:rsidP="00E90918">
      <w:pPr>
        <w:spacing w:after="0" w:line="240" w:lineRule="auto"/>
        <w:ind w:right="357"/>
        <w:jc w:val="center"/>
        <w:rPr>
          <w:rFonts w:cs="Titr"/>
          <w:rtl/>
        </w:rPr>
      </w:pPr>
    </w:p>
    <w:p w:rsidR="00894976" w:rsidRPr="00AC0F7D" w:rsidRDefault="00123918" w:rsidP="00AC0F7D">
      <w:pPr>
        <w:spacing w:after="0" w:line="240" w:lineRule="auto"/>
        <w:rPr>
          <w:rFonts w:cs="Titr"/>
          <w:sz w:val="24"/>
          <w:szCs w:val="24"/>
          <w:rtl/>
        </w:rPr>
      </w:pPr>
      <w:r w:rsidRPr="00AC0F7D">
        <w:rPr>
          <w:rFonts w:cs="Titr" w:hint="cs"/>
          <w:sz w:val="24"/>
          <w:szCs w:val="24"/>
          <w:rtl/>
        </w:rPr>
        <w:t>عنوان طرح</w:t>
      </w:r>
      <w:r w:rsidR="00250ECC" w:rsidRPr="00AC0F7D">
        <w:rPr>
          <w:rFonts w:cs="Titr" w:hint="cs"/>
          <w:sz w:val="24"/>
          <w:szCs w:val="24"/>
          <w:rtl/>
        </w:rPr>
        <w:t xml:space="preserve"> </w:t>
      </w:r>
      <w:r w:rsidRPr="00AC0F7D">
        <w:rPr>
          <w:rFonts w:cs="Titr" w:hint="cs"/>
          <w:sz w:val="24"/>
          <w:szCs w:val="24"/>
          <w:rtl/>
        </w:rPr>
        <w:t>:</w:t>
      </w:r>
    </w:p>
    <w:p w:rsidR="00123918" w:rsidRDefault="00123918" w:rsidP="00AC0F7D">
      <w:pPr>
        <w:spacing w:after="0" w:line="240" w:lineRule="auto"/>
        <w:ind w:left="-23"/>
        <w:rPr>
          <w:rFonts w:cs="B Nazanin" w:hint="cs"/>
          <w:sz w:val="24"/>
          <w:szCs w:val="24"/>
          <w:rtl/>
        </w:rPr>
      </w:pPr>
      <w:r w:rsidRPr="00123918">
        <w:rPr>
          <w:rFonts w:cs="Titr" w:hint="cs"/>
          <w:b/>
          <w:bCs/>
          <w:sz w:val="24"/>
          <w:szCs w:val="24"/>
          <w:rtl/>
        </w:rPr>
        <w:t xml:space="preserve"> </w:t>
      </w:r>
      <w:r w:rsidRPr="00250ECC">
        <w:rPr>
          <w:rFonts w:cs="B Nazanin" w:hint="cs"/>
          <w:sz w:val="24"/>
          <w:szCs w:val="24"/>
          <w:rtl/>
        </w:rPr>
        <w:t>انجام خدمات مهندسی مرحله اول، دوم و مرحله سوم (نظارت عاليه و کارگاهی)</w:t>
      </w:r>
      <w:r w:rsidR="00184DAD">
        <w:rPr>
          <w:rFonts w:cs="B Nazanin" w:hint="cs"/>
          <w:sz w:val="24"/>
          <w:szCs w:val="24"/>
          <w:rtl/>
        </w:rPr>
        <w:t xml:space="preserve"> تهيه و نصب</w:t>
      </w:r>
      <w:r w:rsidRPr="00250ECC">
        <w:rPr>
          <w:rFonts w:cs="B Nazanin" w:hint="cs"/>
          <w:sz w:val="24"/>
          <w:szCs w:val="24"/>
          <w:rtl/>
        </w:rPr>
        <w:t xml:space="preserve"> 64 دستگاه آسانسور و سازه مربوط شهرك</w:t>
      </w:r>
      <w:r w:rsidR="00AC0F7D">
        <w:rPr>
          <w:rFonts w:cs="B Nazanin" w:hint="cs"/>
          <w:sz w:val="24"/>
          <w:szCs w:val="24"/>
          <w:rtl/>
        </w:rPr>
        <w:t>‌</w:t>
      </w:r>
      <w:r w:rsidRPr="00250ECC">
        <w:rPr>
          <w:rFonts w:cs="B Nazanin" w:hint="cs"/>
          <w:sz w:val="24"/>
          <w:szCs w:val="24"/>
          <w:rtl/>
        </w:rPr>
        <w:t xml:space="preserve">هاي  2500 واحدی شهيد تندگويان و 372 واحدی </w:t>
      </w:r>
      <w:r w:rsidR="00950938">
        <w:rPr>
          <w:rFonts w:cs="B Nazanin" w:hint="cs"/>
          <w:sz w:val="24"/>
          <w:szCs w:val="24"/>
          <w:rtl/>
        </w:rPr>
        <w:t>مجتمع مسكوني پارس جم</w:t>
      </w:r>
    </w:p>
    <w:p w:rsidR="00AC0F7D" w:rsidRPr="00250ECC" w:rsidRDefault="00AC0F7D" w:rsidP="00AC0F7D">
      <w:pPr>
        <w:spacing w:after="0" w:line="240" w:lineRule="auto"/>
        <w:ind w:left="-23"/>
        <w:rPr>
          <w:rFonts w:cs="B Nazanin"/>
          <w:sz w:val="24"/>
          <w:szCs w:val="24"/>
          <w:rtl/>
        </w:rPr>
      </w:pPr>
    </w:p>
    <w:p w:rsidR="00894976" w:rsidRPr="00AC0F7D" w:rsidRDefault="00123918" w:rsidP="00AC0F7D">
      <w:pPr>
        <w:spacing w:after="0" w:line="240" w:lineRule="auto"/>
        <w:rPr>
          <w:rFonts w:cs="Titr"/>
          <w:sz w:val="24"/>
          <w:szCs w:val="24"/>
          <w:rtl/>
        </w:rPr>
      </w:pPr>
      <w:r w:rsidRPr="00AC0F7D">
        <w:rPr>
          <w:rFonts w:cs="Titr" w:hint="cs"/>
          <w:sz w:val="24"/>
          <w:szCs w:val="24"/>
          <w:rtl/>
        </w:rPr>
        <w:t>مشخصات كلي :</w:t>
      </w:r>
      <w:r w:rsidR="00894976" w:rsidRPr="00AC0F7D">
        <w:rPr>
          <w:rFonts w:cs="Titr" w:hint="cs"/>
          <w:sz w:val="24"/>
          <w:szCs w:val="24"/>
          <w:rtl/>
        </w:rPr>
        <w:t xml:space="preserve"> </w:t>
      </w:r>
    </w:p>
    <w:p w:rsidR="00123918" w:rsidRDefault="00290A01" w:rsidP="00AC0F7D">
      <w:pPr>
        <w:spacing w:after="0" w:line="240" w:lineRule="auto"/>
        <w:ind w:left="-23"/>
        <w:jc w:val="both"/>
        <w:rPr>
          <w:rFonts w:cs="B Nazanin" w:hint="cs"/>
          <w:sz w:val="24"/>
          <w:szCs w:val="24"/>
          <w:rtl/>
        </w:rPr>
      </w:pPr>
      <w:r w:rsidRPr="00250ECC">
        <w:rPr>
          <w:rFonts w:cs="B Nazanin" w:hint="cs"/>
          <w:sz w:val="24"/>
          <w:szCs w:val="24"/>
          <w:rtl/>
        </w:rPr>
        <w:t>انجام خدمات مهندسی مرحله اول، مرحله دوم و</w:t>
      </w:r>
      <w:r w:rsidR="00A02D42">
        <w:rPr>
          <w:rFonts w:cs="B Nazanin" w:hint="cs"/>
          <w:sz w:val="24"/>
          <w:szCs w:val="24"/>
          <w:rtl/>
        </w:rPr>
        <w:t xml:space="preserve"> </w:t>
      </w:r>
      <w:r w:rsidR="0088270D" w:rsidRPr="00250ECC">
        <w:rPr>
          <w:rFonts w:cs="B Nazanin" w:hint="cs"/>
          <w:sz w:val="24"/>
          <w:szCs w:val="24"/>
          <w:rtl/>
        </w:rPr>
        <w:t>مرحله سوم (نظارت عاليه و کارگاهی) عمليات اجرايی تهي</w:t>
      </w:r>
      <w:r w:rsidRPr="00250ECC">
        <w:rPr>
          <w:rFonts w:cs="B Nazanin" w:hint="cs"/>
          <w:sz w:val="24"/>
          <w:szCs w:val="24"/>
          <w:rtl/>
        </w:rPr>
        <w:t xml:space="preserve">ه و نصب آسانسور </w:t>
      </w:r>
      <w:r w:rsidR="00250ECC">
        <w:rPr>
          <w:rFonts w:cs="B Nazanin" w:hint="cs"/>
          <w:sz w:val="24"/>
          <w:szCs w:val="24"/>
          <w:rtl/>
        </w:rPr>
        <w:t>براي بلوك‌هاي‌</w:t>
      </w:r>
      <w:r w:rsidR="00894976" w:rsidRPr="00250ECC">
        <w:rPr>
          <w:rFonts w:cs="B Nazanin" w:hint="cs"/>
          <w:sz w:val="24"/>
          <w:szCs w:val="24"/>
          <w:rtl/>
        </w:rPr>
        <w:t>آپارتماني شهرك‌هاي مسكوني شهيد تندگويان و 372 واحدي واقع در شهر</w:t>
      </w:r>
      <w:r w:rsidR="00613B06" w:rsidRPr="00250ECC">
        <w:rPr>
          <w:rFonts w:cs="B Nazanin" w:hint="cs"/>
          <w:sz w:val="24"/>
          <w:szCs w:val="24"/>
          <w:rtl/>
        </w:rPr>
        <w:t>ستان</w:t>
      </w:r>
      <w:r w:rsidR="00894976" w:rsidRPr="00250ECC">
        <w:rPr>
          <w:rFonts w:cs="B Nazanin" w:hint="cs"/>
          <w:sz w:val="24"/>
          <w:szCs w:val="24"/>
          <w:rtl/>
        </w:rPr>
        <w:t xml:space="preserve"> جم از</w:t>
      </w:r>
      <w:r w:rsidR="00613B06" w:rsidRPr="00250ECC">
        <w:rPr>
          <w:rFonts w:cs="B Nazanin" w:hint="cs"/>
          <w:sz w:val="24"/>
          <w:szCs w:val="24"/>
          <w:rtl/>
        </w:rPr>
        <w:t xml:space="preserve"> توابع</w:t>
      </w:r>
      <w:r w:rsidR="00894976" w:rsidRPr="00250ECC">
        <w:rPr>
          <w:rFonts w:cs="B Nazanin" w:hint="cs"/>
          <w:sz w:val="24"/>
          <w:szCs w:val="24"/>
          <w:rtl/>
        </w:rPr>
        <w:t xml:space="preserve"> استان بوشهر به فاصله 70 كيلومتري از عسلويه  </w:t>
      </w:r>
      <w:r w:rsidR="00250ECC">
        <w:rPr>
          <w:rFonts w:cs="B Nazanin" w:hint="cs"/>
          <w:sz w:val="24"/>
          <w:szCs w:val="24"/>
          <w:rtl/>
        </w:rPr>
        <w:t>و 300</w:t>
      </w:r>
      <w:r w:rsidR="00894976" w:rsidRPr="00250ECC">
        <w:rPr>
          <w:rFonts w:cs="B Nazanin" w:hint="cs"/>
          <w:sz w:val="24"/>
          <w:szCs w:val="24"/>
          <w:rtl/>
        </w:rPr>
        <w:t>كيلومتري از مركز استان.</w:t>
      </w:r>
      <w:r w:rsidR="009E549C" w:rsidRPr="00250ECC">
        <w:rPr>
          <w:rFonts w:cs="B Nazanin" w:hint="cs"/>
          <w:sz w:val="24"/>
          <w:szCs w:val="24"/>
          <w:rtl/>
        </w:rPr>
        <w:t xml:space="preserve"> </w:t>
      </w:r>
    </w:p>
    <w:p w:rsidR="00AC0F7D" w:rsidRPr="00250ECC" w:rsidRDefault="00AC0F7D" w:rsidP="00AC0F7D">
      <w:pPr>
        <w:spacing w:after="0" w:line="240" w:lineRule="auto"/>
        <w:ind w:left="-23"/>
        <w:jc w:val="both"/>
        <w:rPr>
          <w:rFonts w:cs="B Nazanin"/>
          <w:sz w:val="24"/>
          <w:szCs w:val="24"/>
          <w:rtl/>
        </w:rPr>
      </w:pPr>
    </w:p>
    <w:p w:rsidR="00C440EC" w:rsidRPr="00AC0F7D" w:rsidRDefault="00C440EC" w:rsidP="00AC0F7D">
      <w:pPr>
        <w:spacing w:after="0" w:line="240" w:lineRule="auto"/>
        <w:rPr>
          <w:rFonts w:cs="Titr"/>
          <w:sz w:val="24"/>
          <w:szCs w:val="24"/>
          <w:rtl/>
        </w:rPr>
      </w:pPr>
      <w:r w:rsidRPr="00AC0F7D">
        <w:rPr>
          <w:rFonts w:cs="Titr" w:hint="cs"/>
          <w:sz w:val="24"/>
          <w:szCs w:val="24"/>
          <w:rtl/>
        </w:rPr>
        <w:t>اهداف كيفي و كمي طرح</w:t>
      </w:r>
      <w:r w:rsidR="00250ECC" w:rsidRPr="00AC0F7D">
        <w:rPr>
          <w:rFonts w:cs="Titr" w:hint="cs"/>
          <w:sz w:val="24"/>
          <w:szCs w:val="24"/>
          <w:rtl/>
        </w:rPr>
        <w:t xml:space="preserve"> </w:t>
      </w:r>
      <w:r w:rsidRPr="00AC0F7D">
        <w:rPr>
          <w:rFonts w:cs="Titr" w:hint="cs"/>
          <w:sz w:val="24"/>
          <w:szCs w:val="24"/>
          <w:rtl/>
        </w:rPr>
        <w:t>:</w:t>
      </w:r>
    </w:p>
    <w:p w:rsidR="00461D0B" w:rsidRPr="00250ECC" w:rsidRDefault="00461D0B" w:rsidP="00A02D42">
      <w:pPr>
        <w:spacing w:after="0" w:line="240" w:lineRule="auto"/>
        <w:ind w:left="-23"/>
        <w:jc w:val="both"/>
        <w:rPr>
          <w:rFonts w:cs="B Nazanin"/>
          <w:sz w:val="24"/>
          <w:szCs w:val="24"/>
          <w:rtl/>
        </w:rPr>
      </w:pPr>
      <w:r w:rsidRPr="00250ECC">
        <w:rPr>
          <w:rFonts w:cs="B Nazanin" w:hint="cs"/>
          <w:sz w:val="24"/>
          <w:szCs w:val="24"/>
          <w:rtl/>
        </w:rPr>
        <w:t>انجام خدمات مهندسی مرحله اول، مرحله دوم شامل انجام و ارائه خدمات فني و جانمايي محل نصب هر آسانسور و انجام عمليات فني وابسته همچون طراحي سازه مربوط و انتخاب نماي هماهنگ براي سازه آسانسور و ...و</w:t>
      </w:r>
      <w:r w:rsidR="00A02D42">
        <w:rPr>
          <w:rFonts w:cs="B Nazanin" w:hint="cs"/>
          <w:sz w:val="24"/>
          <w:szCs w:val="24"/>
          <w:rtl/>
        </w:rPr>
        <w:t xml:space="preserve"> </w:t>
      </w:r>
      <w:r w:rsidRPr="00250ECC">
        <w:rPr>
          <w:rFonts w:cs="B Nazanin" w:hint="cs"/>
          <w:sz w:val="24"/>
          <w:szCs w:val="24"/>
          <w:rtl/>
        </w:rPr>
        <w:t>مرحله سوم (نظارت عاليه و کارگاهی) عمليات اجرايی تهيه و نصب 64 دستگاه آسانسور براي بلوك‌هاي آپارتماني شهرك‌هاي مسكوني شهيد تندگويان و 372 واحدي مجتمع مسكوني پارس جم.</w:t>
      </w:r>
    </w:p>
    <w:p w:rsidR="00C440EC" w:rsidRDefault="00C440EC" w:rsidP="00AC0F7D">
      <w:pPr>
        <w:spacing w:after="0" w:line="240" w:lineRule="auto"/>
        <w:ind w:left="-23"/>
        <w:jc w:val="both"/>
        <w:rPr>
          <w:rFonts w:cs="B Nazanin" w:hint="cs"/>
          <w:sz w:val="24"/>
          <w:szCs w:val="24"/>
          <w:rtl/>
        </w:rPr>
      </w:pPr>
      <w:r w:rsidRPr="00796F82">
        <w:rPr>
          <w:rFonts w:cs="B Nazanin" w:hint="cs"/>
          <w:sz w:val="24"/>
          <w:szCs w:val="24"/>
          <w:rtl/>
        </w:rPr>
        <w:t>مدت انجام پروژه 36 ماه شمسی می باشد. شامل 6 ماه خدمات فني و طراحي و تهيه بسته‌هاي فني براي ارائه به پيمانكاران و انجام خدمات مرحله سوم(نظارت عاليه و كارگاهي) به‌مدت 24 ماه. شايان ذكر است مهندس مشاور در برآورد حق‌الزحمه خويش اين مدت را به ميزان 36 ماه، به دليل وقفه زماني 6 ماه از تاريخ ارائه اسناد مناقصه تا آغاز خدمات مرحله سوم براي فرايند برگزاري مناقصه و انتخاب پيمانكار ذيصلاح مي بايست لحاظ نمايد.</w:t>
      </w:r>
    </w:p>
    <w:p w:rsidR="00AC0F7D" w:rsidRPr="00796F82" w:rsidRDefault="00AC0F7D" w:rsidP="00AC0F7D">
      <w:pPr>
        <w:spacing w:after="0" w:line="240" w:lineRule="auto"/>
        <w:ind w:left="-23"/>
        <w:jc w:val="both"/>
        <w:rPr>
          <w:rFonts w:cs="B Nazanin"/>
          <w:sz w:val="24"/>
          <w:szCs w:val="24"/>
          <w:rtl/>
        </w:rPr>
      </w:pPr>
    </w:p>
    <w:p w:rsidR="007E72B3" w:rsidRPr="00AC0F7D" w:rsidRDefault="007E72B3" w:rsidP="00AC0F7D">
      <w:pPr>
        <w:spacing w:after="0" w:line="240" w:lineRule="auto"/>
        <w:rPr>
          <w:rFonts w:cs="Titr"/>
          <w:sz w:val="24"/>
          <w:szCs w:val="24"/>
          <w:rtl/>
        </w:rPr>
      </w:pPr>
      <w:r w:rsidRPr="00AC0F7D">
        <w:rPr>
          <w:rFonts w:cs="Titr" w:hint="cs"/>
          <w:sz w:val="24"/>
          <w:szCs w:val="24"/>
          <w:rtl/>
        </w:rPr>
        <w:t>سازمان كارفرمايي</w:t>
      </w:r>
      <w:r w:rsidR="00796F82" w:rsidRPr="00AC0F7D">
        <w:rPr>
          <w:rFonts w:cs="Titr" w:hint="cs"/>
          <w:sz w:val="24"/>
          <w:szCs w:val="24"/>
          <w:rtl/>
        </w:rPr>
        <w:t xml:space="preserve"> </w:t>
      </w:r>
      <w:r w:rsidRPr="00AC0F7D">
        <w:rPr>
          <w:rFonts w:cs="Titr" w:hint="cs"/>
          <w:sz w:val="24"/>
          <w:szCs w:val="24"/>
          <w:rtl/>
        </w:rPr>
        <w:t>:</w:t>
      </w:r>
    </w:p>
    <w:p w:rsidR="007E72B3" w:rsidRDefault="007E72B3" w:rsidP="00AC0F7D">
      <w:pPr>
        <w:spacing w:after="0" w:line="240" w:lineRule="auto"/>
        <w:ind w:left="-23"/>
        <w:rPr>
          <w:rFonts w:cs="B Nazanin" w:hint="cs"/>
          <w:sz w:val="24"/>
          <w:szCs w:val="24"/>
          <w:rtl/>
        </w:rPr>
      </w:pPr>
      <w:r w:rsidRPr="00796F82">
        <w:rPr>
          <w:rFonts w:cs="B Nazanin" w:hint="cs"/>
          <w:sz w:val="24"/>
          <w:szCs w:val="24"/>
          <w:rtl/>
        </w:rPr>
        <w:t>شركت مجتمع گاز پارس جنوبي واقع در منطقه ويژه اقتصادي انرژي پارس</w:t>
      </w:r>
      <w:r w:rsidR="00A7215A" w:rsidRPr="00796F82">
        <w:rPr>
          <w:rFonts w:cs="B Nazanin" w:hint="cs"/>
          <w:sz w:val="24"/>
          <w:szCs w:val="24"/>
          <w:rtl/>
        </w:rPr>
        <w:t xml:space="preserve"> عسلويه</w:t>
      </w:r>
      <w:r w:rsidRPr="00796F82">
        <w:rPr>
          <w:rFonts w:cs="B Nazanin" w:hint="cs"/>
          <w:sz w:val="24"/>
          <w:szCs w:val="24"/>
          <w:rtl/>
        </w:rPr>
        <w:t xml:space="preserve"> كه از شركت‌هاي تابعه شركت ملي گاز ايران مي‌باشد در اين پروژه به عنوان كارفرما خواهد بود.</w:t>
      </w:r>
    </w:p>
    <w:p w:rsidR="00AC0F7D" w:rsidRPr="00796F82" w:rsidRDefault="00AC0F7D" w:rsidP="00AC0F7D">
      <w:pPr>
        <w:spacing w:after="0" w:line="240" w:lineRule="auto"/>
        <w:ind w:left="-23"/>
        <w:rPr>
          <w:rFonts w:cs="B Nazanin"/>
          <w:sz w:val="24"/>
          <w:szCs w:val="24"/>
          <w:rtl/>
        </w:rPr>
      </w:pPr>
    </w:p>
    <w:p w:rsidR="00A7215A" w:rsidRPr="00AC0F7D" w:rsidRDefault="00A7215A" w:rsidP="00AC0F7D">
      <w:pPr>
        <w:spacing w:after="0" w:line="240" w:lineRule="auto"/>
        <w:rPr>
          <w:rFonts w:cs="Titr"/>
          <w:sz w:val="24"/>
          <w:szCs w:val="24"/>
          <w:rtl/>
        </w:rPr>
      </w:pPr>
      <w:r w:rsidRPr="00AC0F7D">
        <w:rPr>
          <w:rFonts w:cs="Titr" w:hint="cs"/>
          <w:sz w:val="24"/>
          <w:szCs w:val="24"/>
          <w:rtl/>
        </w:rPr>
        <w:t>مهمترين</w:t>
      </w:r>
      <w:r w:rsidR="00EE651F" w:rsidRPr="00AC0F7D">
        <w:rPr>
          <w:rFonts w:cs="Titr" w:hint="cs"/>
          <w:sz w:val="24"/>
          <w:szCs w:val="24"/>
          <w:rtl/>
        </w:rPr>
        <w:t xml:space="preserve"> مقررات،</w:t>
      </w:r>
      <w:r w:rsidRPr="00AC0F7D">
        <w:rPr>
          <w:rFonts w:cs="Titr" w:hint="cs"/>
          <w:sz w:val="24"/>
          <w:szCs w:val="24"/>
          <w:rtl/>
        </w:rPr>
        <w:t xml:space="preserve"> بخشنامه</w:t>
      </w:r>
      <w:r w:rsidR="00EE651F" w:rsidRPr="00AC0F7D">
        <w:rPr>
          <w:rFonts w:cs="Titr" w:hint="cs"/>
          <w:sz w:val="24"/>
          <w:szCs w:val="24"/>
          <w:rtl/>
        </w:rPr>
        <w:t>‌</w:t>
      </w:r>
      <w:r w:rsidRPr="00AC0F7D">
        <w:rPr>
          <w:rFonts w:cs="Titr" w:hint="cs"/>
          <w:sz w:val="24"/>
          <w:szCs w:val="24"/>
          <w:rtl/>
        </w:rPr>
        <w:t>ها</w:t>
      </w:r>
      <w:r w:rsidR="00EE651F" w:rsidRPr="00AC0F7D">
        <w:rPr>
          <w:rFonts w:cs="Titr" w:hint="cs"/>
          <w:sz w:val="24"/>
          <w:szCs w:val="24"/>
          <w:rtl/>
        </w:rPr>
        <w:t xml:space="preserve"> و دستورالعمل‌هاي مربوط:</w:t>
      </w:r>
    </w:p>
    <w:p w:rsidR="00EE651F" w:rsidRPr="005D2D22" w:rsidRDefault="00EE651F" w:rsidP="00AC0F7D">
      <w:pPr>
        <w:spacing w:after="0" w:line="240" w:lineRule="auto"/>
        <w:ind w:left="-23"/>
        <w:rPr>
          <w:rFonts w:cs="B Nazanin"/>
          <w:sz w:val="24"/>
          <w:szCs w:val="24"/>
          <w:rtl/>
        </w:rPr>
      </w:pPr>
      <w:r w:rsidRPr="005D2D22">
        <w:rPr>
          <w:rFonts w:cs="B Nazanin" w:hint="cs"/>
          <w:sz w:val="24"/>
          <w:szCs w:val="24"/>
          <w:rtl/>
        </w:rPr>
        <w:t>کل</w:t>
      </w:r>
      <w:r w:rsidR="00B17206" w:rsidRPr="005D2D22">
        <w:rPr>
          <w:rFonts w:cs="B Nazanin" w:hint="cs"/>
          <w:sz w:val="24"/>
          <w:szCs w:val="24"/>
          <w:rtl/>
        </w:rPr>
        <w:t>ي</w:t>
      </w:r>
      <w:r w:rsidRPr="005D2D22">
        <w:rPr>
          <w:rFonts w:cs="B Nazanin" w:hint="cs"/>
          <w:sz w:val="24"/>
          <w:szCs w:val="24"/>
          <w:rtl/>
        </w:rPr>
        <w:t>ه نشر</w:t>
      </w:r>
      <w:r w:rsidR="00B17206" w:rsidRPr="005D2D22">
        <w:rPr>
          <w:rFonts w:cs="B Nazanin" w:hint="cs"/>
          <w:sz w:val="24"/>
          <w:szCs w:val="24"/>
          <w:rtl/>
        </w:rPr>
        <w:t>ي</w:t>
      </w:r>
      <w:r w:rsidRPr="005D2D22">
        <w:rPr>
          <w:rFonts w:cs="B Nazanin" w:hint="cs"/>
          <w:sz w:val="24"/>
          <w:szCs w:val="24"/>
          <w:rtl/>
        </w:rPr>
        <w:t>ات صادره از سوی سازمان برنامه و بودجه كه به نحوي با اين پروژه در ارتباط هستند</w:t>
      </w:r>
      <w:r w:rsidR="00B678DA">
        <w:rPr>
          <w:rFonts w:cs="B Nazanin" w:hint="cs"/>
          <w:sz w:val="24"/>
          <w:szCs w:val="24"/>
          <w:rtl/>
        </w:rPr>
        <w:t xml:space="preserve"> و نيز نشريه شماره 029 وزارت نفت مربوط به قراردادهاي همسان مشاوره</w:t>
      </w:r>
      <w:r w:rsidR="00014F42">
        <w:rPr>
          <w:rFonts w:cs="B Nazanin" w:hint="cs"/>
          <w:sz w:val="24"/>
          <w:szCs w:val="24"/>
          <w:rtl/>
        </w:rPr>
        <w:t xml:space="preserve"> صنعت نفت</w:t>
      </w:r>
      <w:r w:rsidR="00B678DA">
        <w:rPr>
          <w:rFonts w:cs="B Nazanin" w:hint="cs"/>
          <w:sz w:val="24"/>
          <w:szCs w:val="24"/>
          <w:rtl/>
        </w:rPr>
        <w:t>.</w:t>
      </w:r>
    </w:p>
    <w:p w:rsidR="00B17206" w:rsidRPr="001F3197" w:rsidRDefault="00BC1701" w:rsidP="00BC1701">
      <w:pPr>
        <w:ind w:left="-23"/>
        <w:rPr>
          <w:rFonts w:cs="Nazanin"/>
          <w:sz w:val="28"/>
          <w:szCs w:val="28"/>
          <w:rtl/>
        </w:rPr>
      </w:pPr>
      <w:r w:rsidRPr="00AC0F7D">
        <w:rPr>
          <w:rFonts w:cs="Titr" w:hint="cs"/>
          <w:sz w:val="24"/>
          <w:szCs w:val="24"/>
          <w:rtl/>
        </w:rPr>
        <w:t>تذكر:</w:t>
      </w:r>
      <w:r w:rsidR="00B17206" w:rsidRPr="001F3197">
        <w:rPr>
          <w:rFonts w:cs="Nazanin" w:hint="cs"/>
          <w:sz w:val="28"/>
          <w:szCs w:val="28"/>
          <w:rtl/>
        </w:rPr>
        <w:t xml:space="preserve"> </w:t>
      </w:r>
      <w:r w:rsidR="00B17206" w:rsidRPr="005D2D22">
        <w:rPr>
          <w:rFonts w:cs="B Nazanin" w:hint="cs"/>
          <w:sz w:val="24"/>
          <w:szCs w:val="24"/>
          <w:rtl/>
        </w:rPr>
        <w:t xml:space="preserve">منابع </w:t>
      </w:r>
      <w:r w:rsidR="001F3197" w:rsidRPr="005D2D22">
        <w:rPr>
          <w:rFonts w:cs="B Nazanin" w:hint="cs"/>
          <w:sz w:val="24"/>
          <w:szCs w:val="24"/>
          <w:rtl/>
        </w:rPr>
        <w:t>مالی طرح از محل بودجه طرح های غي</w:t>
      </w:r>
      <w:r w:rsidR="00B17206" w:rsidRPr="005D2D22">
        <w:rPr>
          <w:rFonts w:cs="B Nazanin" w:hint="cs"/>
          <w:sz w:val="24"/>
          <w:szCs w:val="24"/>
          <w:rtl/>
        </w:rPr>
        <w:t xml:space="preserve">ر </w:t>
      </w:r>
      <w:r w:rsidR="001F3197" w:rsidRPr="005D2D22">
        <w:rPr>
          <w:rFonts w:cs="B Nazanin" w:hint="cs"/>
          <w:sz w:val="24"/>
          <w:szCs w:val="24"/>
          <w:rtl/>
        </w:rPr>
        <w:t>عمرانی مجتمع گاز پارس جنوبی تامين می شود لذا کسورات متعلق به اين پروژه برمبنای طرح های غ</w:t>
      </w:r>
      <w:r w:rsidRPr="005D2D22">
        <w:rPr>
          <w:rFonts w:cs="B Nazanin" w:hint="cs"/>
          <w:sz w:val="24"/>
          <w:szCs w:val="24"/>
          <w:rtl/>
        </w:rPr>
        <w:t>ي</w:t>
      </w:r>
      <w:r w:rsidR="001F3197" w:rsidRPr="005D2D22">
        <w:rPr>
          <w:rFonts w:cs="B Nazanin" w:hint="cs"/>
          <w:sz w:val="24"/>
          <w:szCs w:val="24"/>
          <w:rtl/>
        </w:rPr>
        <w:t xml:space="preserve">ر عمرانی </w:t>
      </w:r>
      <w:r w:rsidRPr="005D2D22">
        <w:rPr>
          <w:rFonts w:cs="B Nazanin" w:hint="cs"/>
          <w:sz w:val="24"/>
          <w:szCs w:val="24"/>
          <w:rtl/>
        </w:rPr>
        <w:t>محاسبه  خواهد شد.</w:t>
      </w:r>
    </w:p>
    <w:p w:rsidR="00B17206" w:rsidRDefault="00B17206" w:rsidP="00B17206">
      <w:pPr>
        <w:ind w:left="-23"/>
        <w:rPr>
          <w:rFonts w:cs="Nazanin"/>
          <w:sz w:val="28"/>
          <w:szCs w:val="28"/>
          <w:rtl/>
        </w:rPr>
      </w:pPr>
    </w:p>
    <w:sectPr w:rsidR="00B17206" w:rsidSect="00950938">
      <w:pgSz w:w="11906" w:h="16838"/>
      <w:pgMar w:top="709" w:right="991" w:bottom="144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73D" w:rsidRDefault="00E1073D" w:rsidP="00123918">
      <w:pPr>
        <w:spacing w:after="0" w:line="240" w:lineRule="auto"/>
      </w:pPr>
      <w:r>
        <w:separator/>
      </w:r>
    </w:p>
  </w:endnote>
  <w:endnote w:type="continuationSeparator" w:id="1">
    <w:p w:rsidR="00E1073D" w:rsidRDefault="00E1073D" w:rsidP="0012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73D" w:rsidRDefault="00E1073D" w:rsidP="00123918">
      <w:pPr>
        <w:spacing w:after="0" w:line="240" w:lineRule="auto"/>
      </w:pPr>
      <w:r>
        <w:separator/>
      </w:r>
    </w:p>
  </w:footnote>
  <w:footnote w:type="continuationSeparator" w:id="1">
    <w:p w:rsidR="00E1073D" w:rsidRDefault="00E1073D" w:rsidP="0012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B23"/>
    <w:multiLevelType w:val="hybridMultilevel"/>
    <w:tmpl w:val="45427492"/>
    <w:lvl w:ilvl="0" w:tplc="C8284090">
      <w:start w:val="1"/>
      <w:numFmt w:val="decimal"/>
      <w:lvlText w:val="1-1-1-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12A3"/>
    <w:multiLevelType w:val="multilevel"/>
    <w:tmpl w:val="8D36D836"/>
    <w:lvl w:ilvl="0">
      <w:start w:val="1"/>
      <w:numFmt w:val="decimal"/>
      <w:lvlText w:val="1-1-2-%1-"/>
      <w:lvlJc w:val="left"/>
      <w:pPr>
        <w:ind w:left="2122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497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57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57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918"/>
    <w:rsid w:val="00014F42"/>
    <w:rsid w:val="000A6878"/>
    <w:rsid w:val="00123918"/>
    <w:rsid w:val="00184DAD"/>
    <w:rsid w:val="001F3197"/>
    <w:rsid w:val="00250ECC"/>
    <w:rsid w:val="00290A01"/>
    <w:rsid w:val="00422870"/>
    <w:rsid w:val="00445124"/>
    <w:rsid w:val="00461D0B"/>
    <w:rsid w:val="004F0A65"/>
    <w:rsid w:val="005D2D22"/>
    <w:rsid w:val="00613B06"/>
    <w:rsid w:val="006A69F6"/>
    <w:rsid w:val="00796F82"/>
    <w:rsid w:val="007E72B3"/>
    <w:rsid w:val="0088270D"/>
    <w:rsid w:val="00894976"/>
    <w:rsid w:val="008D1241"/>
    <w:rsid w:val="00950938"/>
    <w:rsid w:val="009D258C"/>
    <w:rsid w:val="009E549C"/>
    <w:rsid w:val="00A02D42"/>
    <w:rsid w:val="00A04FC9"/>
    <w:rsid w:val="00A7215A"/>
    <w:rsid w:val="00AC0F7D"/>
    <w:rsid w:val="00AC3690"/>
    <w:rsid w:val="00B17206"/>
    <w:rsid w:val="00B678DA"/>
    <w:rsid w:val="00BC1701"/>
    <w:rsid w:val="00C440EC"/>
    <w:rsid w:val="00D633AC"/>
    <w:rsid w:val="00E1073D"/>
    <w:rsid w:val="00E90918"/>
    <w:rsid w:val="00EE14AE"/>
    <w:rsid w:val="00EE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918"/>
  </w:style>
  <w:style w:type="paragraph" w:styleId="Footer">
    <w:name w:val="footer"/>
    <w:basedOn w:val="Normal"/>
    <w:link w:val="FooterChar"/>
    <w:uiPriority w:val="99"/>
    <w:semiHidden/>
    <w:unhideWhenUsed/>
    <w:rsid w:val="0012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918"/>
  </w:style>
  <w:style w:type="paragraph" w:styleId="ListParagraph">
    <w:name w:val="List Paragraph"/>
    <w:basedOn w:val="Normal"/>
    <w:link w:val="ListParagraphChar"/>
    <w:uiPriority w:val="34"/>
    <w:qFormat/>
    <w:rsid w:val="00C440EC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locked/>
    <w:rsid w:val="00C440E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592690</dc:creator>
  <cp:lastModifiedBy>540855</cp:lastModifiedBy>
  <cp:revision>5</cp:revision>
  <dcterms:created xsi:type="dcterms:W3CDTF">2016-11-22T07:22:00Z</dcterms:created>
  <dcterms:modified xsi:type="dcterms:W3CDTF">2017-09-17T09:21:00Z</dcterms:modified>
</cp:coreProperties>
</file>